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A590"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20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24</w:t>
      </w:r>
      <w:r>
        <w:rPr>
          <w:rFonts w:hint="eastAsia"/>
          <w:b/>
          <w:color w:val="auto"/>
          <w:sz w:val="44"/>
          <w:szCs w:val="44"/>
        </w:rPr>
        <w:t>年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安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徽淮南现代煤化工产业园区</w:t>
      </w:r>
      <w:r>
        <w:rPr>
          <w:rFonts w:hint="eastAsia"/>
          <w:b/>
          <w:color w:val="auto"/>
          <w:sz w:val="44"/>
          <w:szCs w:val="44"/>
        </w:rPr>
        <w:t>转移支付执行情况说明</w:t>
      </w:r>
    </w:p>
    <w:p w14:paraId="21B431BE">
      <w:pPr>
        <w:jc w:val="center"/>
        <w:rPr>
          <w:rFonts w:hint="eastAsia"/>
          <w:b/>
          <w:color w:val="auto"/>
          <w:sz w:val="44"/>
          <w:szCs w:val="44"/>
        </w:rPr>
      </w:pPr>
    </w:p>
    <w:p w14:paraId="0EB9EA5F"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/>
          <w:b/>
          <w:bCs/>
          <w:color w:val="auto"/>
          <w:sz w:val="32"/>
          <w:szCs w:val="32"/>
        </w:rPr>
        <w:t>上级补助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一般公共预算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收入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6118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其中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一般性转移支付收入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eastAsia="仿宋_GB2312"/>
          <w:color w:val="auto"/>
          <w:sz w:val="32"/>
          <w:szCs w:val="32"/>
        </w:rPr>
        <w:t>万元，主要用于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一般公共服务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支出等。</w:t>
      </w:r>
    </w:p>
    <w:p w14:paraId="128E27F2">
      <w:pPr>
        <w:numPr>
          <w:numId w:val="0"/>
        </w:numPr>
        <w:spacing w:line="360" w:lineRule="auto"/>
        <w:ind w:firstLine="643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专项转移支付收入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5118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主要用于一般公共服务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万元、科学技术1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万元、节能环保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 w14:paraId="2AF0CBFA"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上级补助政府性基金收入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3635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本年并未支出，结转至下年使用。</w:t>
      </w:r>
    </w:p>
    <w:p w14:paraId="56BB4B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4A6B9"/>
    <w:multiLevelType w:val="singleLevel"/>
    <w:tmpl w:val="EFD4A6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41A2"/>
    <w:rsid w:val="6BD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2026-03-19T02:16:00Z</dcterms:created>
  <dc:creator>静静</dc:creator>
  <cp:lastModifiedBy>静静</cp:lastModifiedBy>
  <dcterms:modified xsi:type="dcterms:W3CDTF">2026-03-19T02:27:56Z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CED7A747D8E14DCAA53312B1777098C8_11</vt:lpwstr>
  </property>
  <property fmtid="{D5CDD505-2E9C-101B-9397-08002B2CF9AE}" pid="4" name="KSOTemplateDocerSaveRecord">
    <vt:lpwstr>eyJoZGlkIjoiM2FkMzhlYTg3MTU5NDEzNzllOWU3MzE2Zjg5MTgxYTQiLCJ1c2VySWQiOiIxMjE1MzI4ODQ5In0=</vt:lpwstr>
  </property>
</Properties>
</file>