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Times New Roman" w:hAnsi="Times New Roman" w:cs="Times New Roman"/>
          <w:lang w:val="en-US" w:eastAsia="zh-CN"/>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spacing w:after="440"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淮</w:t>
      </w:r>
      <w:r>
        <w:rPr>
          <w:rFonts w:hint="default" w:ascii="Times New Roman" w:hAnsi="Times New Roman" w:eastAsia="仿宋_GB2312" w:cs="Times New Roman"/>
          <w:color w:val="auto"/>
          <w:sz w:val="32"/>
          <w:szCs w:val="32"/>
          <w:lang w:val="en-US" w:eastAsia="zh-CN"/>
        </w:rPr>
        <w:t>煤化</w:t>
      </w:r>
      <w:r>
        <w:rPr>
          <w:rFonts w:hint="default" w:ascii="Times New Roman" w:hAnsi="Times New Roman" w:eastAsia="仿宋_GB2312" w:cs="Times New Roman"/>
          <w:color w:val="auto"/>
          <w:sz w:val="32"/>
          <w:szCs w:val="32"/>
        </w:rPr>
        <w:t>环审复〔</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关于安徽远景作物保护有限公司</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悬浮剂生产线及可溶性液体车间项目</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环境影响报告表的批复</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安徽远景作物保护有限公司: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你公司报送的《悬浮剂生产线及可溶性液体车间项目环境影响报告表》（以下简称《报告表》）收悉。经审查研究后批复如下：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在全面落实环评文件提出的各项污染防治措施和风险防范措施的前提下，结合专家审查意见，原则同意该项目按照安徽省德乔环境科学技术研究发展有限公司编制的《报告表》及本审批意见要求进行建设。</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一、项目概况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本项目选址于安徽淮南潘集经济开发区（安徽淮南现代煤化工产业园），</w:t>
      </w:r>
      <w:r>
        <w:rPr>
          <w:rFonts w:hint="eastAsia" w:ascii="Times New Roman" w:hAnsi="Times New Roman" w:eastAsia="仿宋_GB2312" w:cs="Times New Roman"/>
          <w:sz w:val="32"/>
          <w:szCs w:val="32"/>
          <w:lang w:val="en-US" w:eastAsia="zh-CN"/>
        </w:rPr>
        <w:t>纬四路南</w:t>
      </w:r>
      <w:r>
        <w:rPr>
          <w:rFonts w:hint="default" w:ascii="Times New Roman" w:hAnsi="Times New Roman" w:eastAsia="仿宋_GB2312" w:cs="Times New Roman"/>
          <w:sz w:val="32"/>
          <w:szCs w:val="32"/>
          <w:lang w:val="en-US" w:eastAsia="zh-CN"/>
        </w:rPr>
        <w:t>侧、煤化工大道北侧。本次改建项目在总产能不变（通过产品增减），新建2栋车间、一个丙类仓库；并对厂区已建的3号、4号仓库进行</w:t>
      </w:r>
      <w:bookmarkStart w:id="0" w:name="_GoBack"/>
      <w:bookmarkEnd w:id="0"/>
      <w:r>
        <w:rPr>
          <w:rFonts w:hint="default" w:ascii="Times New Roman" w:hAnsi="Times New Roman" w:eastAsia="仿宋_GB2312" w:cs="Times New Roman"/>
          <w:sz w:val="32"/>
          <w:szCs w:val="32"/>
          <w:lang w:val="en-US" w:eastAsia="zh-CN"/>
        </w:rPr>
        <w:t>改建，配套建设公用辅助设施。本项目已由安徽淮南潘集经济开发区（安徽淮南现代煤化工产业园）管理委员会备案，项目代码:2603-340464-04-02-108535，未经同意不得擅自改变建设内容、工艺、规模和选址等。若工程建设发生重大变动，必须严格依照《中华人民共和国环境影响评价法》等有关规定办理相关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二、污染防治措施要求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该项目在建设和运营过程中必须严格执行国家和地方政府环境保护的法律法规、政策规范和标准，并重点落实好以下污染防治措施：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（1）施工期污染防治措施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施工期间根据《安徽省建筑工程施工扬尘污染防治规定》、《安徽省建筑工程施工和预拌混凝土生产扬尘污染防治标准(试行)》等有关要求，严格落实各项扬尘污染防治措施，做到施工范围全覆盖，同时做到工地周边围挡、物料堆放覆盖、路面硬化、土方开挖湿法作业、出入车辆清洗、渣土车辆密闭运输“六个百分之百”。在场区内设置沉淀池，施工废水经沉淀后再利用，施工人员的生活污水经临时化粪池处理后转运至园区污水处理厂进一步处理。采取合理安排作业时间、选用低噪声设备、合理布置施工现场等措施，减少噪声对周围环境的影响。建筑垃圾及时清运、加以利用、合规处置，生活垃圾进行专门收集并送往附近垃圾场。</w:t>
      </w:r>
    </w:p>
    <w:p>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运营期污染防治措施</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气污染防治措施。严格落实《报告表》中提出的各类废气污染防治措施和要求。改建后车间二投料工序设置密闭集气间并采用负压收集，分散、搅拌混合工序废气采用密闭管道负压收集，灌装工序设置密闭集气罩进行收集，喷码工序配套侧吸式集气罩捕集废气，统一收集后依托现有废气治理设施进行处理；本项目将现有普通布袋除尘器优化调整为滤膜布袋除尘器，升级后废气处理系统为“滤膜布袋除尘器+两级活性炭吸附装置”。通过现有一根21.5m高排气筒（DA001)有组织排放。改建后项目危废暂存间挥发废气采用负压密闭收集，罐区储罐呼吸废气通过专用密闭管道集中收集，两类废气经支管汇入废气总管后，统一送入“两级活性炭吸附装置”净化处理，经由15m 高排气筒（DA002）排放。车间一投料工序设置密闭集气间并采用负压收集，分散、搅拌混合工序废气采用密闭管道负压收集，灌装工序设置密闭集气罩进行收集，喷码工序配套侧吸式集气罩捕集废气；各工序收集废气经支管汇集至主废气总管，统一送入1套“滤膜布袋除尘器+两级活性炭吸附装置”净化处理，尾气最终经由24m高排气筒（DA003）排放。改建后现有工程污水处理站运行废气，及本次改建新增污水处理站各产异味构筑物废气，均设置密闭负压抽风系统进行集中收集；收集废气统一送入“高效气液分离器 + 两级活性炭吸附装置”净化处理，经由24m高排气筒（DA004）排放。质检室产生的有机废气设置通风橱和万向罩收集后送至“两级活性炭吸附装置”处理后经24m高排气筒（DA005）排放。各类废气排放按《报告表》中各项标准和要求限值执行。</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污染防治措施。严格落实《报告表》中提出的各类废水污染防治措施和要求。本项目实行“雨污分流、清污分流”，污水管网采用可视化设计。项目莠去津产品设备清洗产生的高浓度废水，先排入专用收集池，经UV氧化+活性炭吸附工艺预处理，特征因子莠去津满足车间达标要求；其余设备清洗、检修及质检等高浓度生产废水直接汇入调节池，与预处理后的莠去津废水均质混合，再进入气浮+芬顿氧化单元进行深度预处理。上述预处理废水与地坪清洗废水、空压系统排水、生活污水、初期雨水等低浓度废水混合后，依次经pH调节+UASB反应器+水解酸化池+接触氧化池+二沉池组合工艺进一步生化处理，处理后通过明管输送至园区污水处理厂。各类废水排放按《报告表》中各项标准和要求限值执行。</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噪声污染防治措施。严格落实《报告表》提出的各项噪声污染防治措施，通过选用低噪声设备，优化厂区平面布置，合理布置高噪声设备。对高噪声设备采取基础减振、隔声、消声等降噪措施，确保厂界噪声达标。噪声排放按《报告表》中各项标准和要求限值执行。</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固废污染防治措施。做好项目运营过程中产生的固废收集、处理工作，防止造成二次污染。项目产生的危废为除尘器收集粉尘、废布袋、废活性炭、原药内包装袋、破损包装桶、滤渣、污泥、质检废液、废机油及包装桶、废油墨、废油墨桶、废UV灯管</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sz w:val="32"/>
          <w:szCs w:val="32"/>
          <w:lang w:val="en-US" w:eastAsia="zh-CN"/>
        </w:rPr>
        <w:t>，项目配套1间80m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的危废仓库，定期委托有资质单位安全合规处置。一般工业固体废弃物主要为固体原药外包装袋、固体助剂包装袋、污水处理站固体药剂包装袋等，收集后合规处置。生活垃圾收集后交由环卫部门统一清运处理。</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壤及地下水污染防治措施。结合环评文件相关内容，对生产车间、包装车间、甲类仓库、危废仓库、罐区、污水处理站、事故池、初期雨水池、废水管网等区域进行重点防渗，严格落实分区防渗措施，防止污染土壤及地下水。落实地下水跟踪监测要求。</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加强环境风险预防和控制。严格落实《报告表》提出的各项风险防范措施，</w:t>
      </w:r>
      <w:r>
        <w:rPr>
          <w:rFonts w:hint="default" w:ascii="Times New Roman" w:hAnsi="Times New Roman" w:eastAsia="仿宋_GB2312" w:cs="Times New Roman"/>
          <w:color w:val="auto"/>
          <w:sz w:val="32"/>
          <w:szCs w:val="32"/>
          <w:lang w:val="en-US" w:eastAsia="zh-CN"/>
        </w:rPr>
        <w:t>本项目改建工程依托厂区现有已建容积888m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事故应急水池及516m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初期雨水收集池。</w:t>
      </w:r>
      <w:r>
        <w:rPr>
          <w:rFonts w:hint="default" w:ascii="Times New Roman" w:hAnsi="Times New Roman" w:eastAsia="仿宋_GB2312" w:cs="Times New Roman"/>
          <w:sz w:val="32"/>
          <w:szCs w:val="32"/>
          <w:lang w:val="en-US" w:eastAsia="zh-CN"/>
        </w:rPr>
        <w:t>结合本项目存在的环境风险点，修订环境风险应急预案，储备风险防范物资，依法开展应急演练，确保突发事故状态下的次生环境影响程度可控。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三、环境管理要求</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建设过程中应严格执行环境保护“三同时”制度。项目建成后，依法变更排污许可证。项目竣工后应及时对配套的环境保护设施进行验收，验收合格后方可投产。按照国家有关规定设置规范的污染物排放口、贮存(处置)场并安装环保标志标牌。如有环境功能区划调整、新标准实施等情况，按照最新要求执行。</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仿宋_GB2312" w:cs="Times New Roman"/>
          <w:sz w:val="32"/>
          <w:szCs w:val="32"/>
          <w:lang w:val="en-US" w:eastAsia="zh-CN"/>
        </w:rPr>
        <w:t>项目改建完成后，烟（粉）尘、VOCs 大气污染物排放总量均未超出原有项目核定总量控制规模，不新增区域污染物排放总量。提高企业的清洁生产水平，有关项目的其他环境影响减缓措施，按环评报告要求认真落实。</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仿宋_GB2312" w:cs="Times New Roman"/>
          <w:sz w:val="32"/>
          <w:szCs w:val="32"/>
          <w:lang w:val="en-US" w:eastAsia="zh-CN"/>
        </w:rPr>
        <w:t>请潘集生态环境保护综合行政执法大队做好工程施工期和运营期的事中事后生态环境监管工作。</w:t>
      </w:r>
    </w:p>
    <w:p>
      <w:pPr>
        <w:keepNext w:val="0"/>
        <w:keepLines w:val="0"/>
        <w:pageBreakBefore w:val="0"/>
        <w:widowControl w:val="0"/>
        <w:kinsoku/>
        <w:wordWrap w:val="0"/>
        <w:overflowPunct/>
        <w:topLinePunct w:val="0"/>
        <w:autoSpaceDE/>
        <w:autoSpaceDN/>
        <w:bidi w:val="0"/>
        <w:adjustRightInd/>
        <w:snapToGrid/>
        <w:spacing w:line="560" w:lineRule="exact"/>
        <w:ind w:right="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420" w:firstLineChars="200"/>
        <w:jc w:val="both"/>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napToGrid/>
        <w:spacing w:line="560" w:lineRule="exact"/>
        <w:ind w:left="0" w:right="0" w:firstLine="420" w:firstLineChars="200"/>
        <w:jc w:val="both"/>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（此页无正文）</w:t>
      </w: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tbl>
      <w:tblPr>
        <w:tblStyle w:val="4"/>
        <w:tblW w:w="0" w:type="auto"/>
        <w:tblInd w:w="0" w:type="dxa"/>
        <w:tblBorders>
          <w:top w:val="single" w:color="auto" w:sz="18" w:space="0"/>
          <w:left w:val="none" w:color="auto" w:sz="0" w:space="0"/>
          <w:bottom w:val="single" w:color="auto" w:sz="18" w:space="0"/>
          <w:right w:val="none" w:color="auto" w:sz="0" w:space="0"/>
          <w:insideH w:val="single" w:color="auto" w:sz="18" w:space="0"/>
          <w:insideV w:val="single" w:color="auto" w:sz="18" w:space="0"/>
        </w:tblBorders>
        <w:tblLayout w:type="autofit"/>
        <w:tblCellMar>
          <w:top w:w="0" w:type="dxa"/>
          <w:left w:w="108" w:type="dxa"/>
          <w:bottom w:w="0" w:type="dxa"/>
          <w:right w:w="108" w:type="dxa"/>
        </w:tblCellMar>
      </w:tblPr>
      <w:tblGrid>
        <w:gridCol w:w="8522"/>
      </w:tblGrid>
      <w:tr>
        <w:tblPrEx>
          <w:tblBorders>
            <w:top w:val="single" w:color="auto" w:sz="18" w:space="0"/>
            <w:left w:val="none" w:color="auto" w:sz="0" w:space="0"/>
            <w:bottom w:val="single" w:color="auto" w:sz="18" w:space="0"/>
            <w:right w:val="none" w:color="auto" w:sz="0" w:space="0"/>
            <w:insideH w:val="single" w:color="auto" w:sz="18" w:space="0"/>
            <w:insideV w:val="single" w:color="auto" w:sz="18" w:space="0"/>
          </w:tblBorders>
          <w:tblCellMar>
            <w:top w:w="0" w:type="dxa"/>
            <w:left w:w="108" w:type="dxa"/>
            <w:bottom w:w="0" w:type="dxa"/>
            <w:right w:w="108" w:type="dxa"/>
          </w:tblCellMar>
        </w:tblPrEx>
        <w:tc>
          <w:tcPr>
            <w:tcW w:w="9174" w:type="dxa"/>
            <w:tcBorders>
              <w:top w:val="single" w:color="auto" w:sz="12" w:space="0"/>
              <w:bottom w:val="single" w:color="auto" w:sz="12" w:space="0"/>
            </w:tcBorders>
          </w:tcPr>
          <w:p>
            <w:pPr>
              <w:keepNext w:val="0"/>
              <w:keepLines w:val="0"/>
              <w:pageBreakBefore w:val="0"/>
              <w:widowControl w:val="0"/>
              <w:kinsoku/>
              <w:wordWrap w:val="0"/>
              <w:overflowPunct/>
              <w:topLinePunct w:val="0"/>
              <w:autoSpaceDE/>
              <w:autoSpaceDN/>
              <w:bidi w:val="0"/>
              <w:adjustRightInd/>
              <w:snapToGrid/>
              <w:spacing w:line="560" w:lineRule="exact"/>
              <w:ind w:left="210" w:leftChars="100" w:right="210" w:rightChars="100"/>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抄报：淮南市生态环境局、安徽淮南潘集经济开发区（安徽淮南现代煤化工产业园）管理委员会。</w:t>
            </w:r>
          </w:p>
          <w:p>
            <w:pPr>
              <w:keepNext w:val="0"/>
              <w:keepLines w:val="0"/>
              <w:pageBreakBefore w:val="0"/>
              <w:widowControl w:val="0"/>
              <w:kinsoku/>
              <w:wordWrap w:val="0"/>
              <w:overflowPunct/>
              <w:topLinePunct w:val="0"/>
              <w:autoSpaceDE/>
              <w:autoSpaceDN/>
              <w:bidi w:val="0"/>
              <w:adjustRightInd/>
              <w:snapToGrid/>
              <w:spacing w:line="560" w:lineRule="exact"/>
              <w:ind w:left="210" w:leftChars="100" w:right="210" w:rightChars="100"/>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vertAlign w:val="baseline"/>
                <w:lang w:eastAsia="zh-CN"/>
              </w:rPr>
              <w:t>抄送：潘集区生态环境分局、潘集生态环境保护综合行政执法大队、安徽省德乔环境科学技术研究发展有限公司。</w:t>
            </w:r>
          </w:p>
        </w:tc>
      </w:tr>
      <w:tr>
        <w:tblPrEx>
          <w:tblBorders>
            <w:top w:val="single" w:color="auto" w:sz="18" w:space="0"/>
            <w:left w:val="none" w:color="auto" w:sz="0" w:space="0"/>
            <w:bottom w:val="single" w:color="auto" w:sz="18" w:space="0"/>
            <w:right w:val="none" w:color="auto" w:sz="0" w:space="0"/>
            <w:insideH w:val="single" w:color="auto" w:sz="18" w:space="0"/>
            <w:insideV w:val="single" w:color="auto" w:sz="18" w:space="0"/>
          </w:tblBorders>
          <w:tblCellMar>
            <w:top w:w="0" w:type="dxa"/>
            <w:left w:w="108" w:type="dxa"/>
            <w:bottom w:w="0" w:type="dxa"/>
            <w:right w:w="108" w:type="dxa"/>
          </w:tblCellMar>
        </w:tblPrEx>
        <w:tc>
          <w:tcPr>
            <w:tcW w:w="9174" w:type="dxa"/>
            <w:tcBorders>
              <w:top w:val="single" w:color="auto" w:sz="12" w:space="0"/>
              <w:bottom w:val="single" w:color="auto" w:sz="12" w:space="0"/>
            </w:tcBorders>
          </w:tcPr>
          <w:p>
            <w:pPr>
              <w:keepNext w:val="0"/>
              <w:keepLines w:val="0"/>
              <w:pageBreakBefore w:val="0"/>
              <w:widowControl w:val="0"/>
              <w:kinsoku/>
              <w:wordWrap w:val="0"/>
              <w:overflowPunct/>
              <w:topLinePunct w:val="0"/>
              <w:autoSpaceDE/>
              <w:autoSpaceDN/>
              <w:bidi w:val="0"/>
              <w:adjustRightInd/>
              <w:snapToGrid/>
              <w:spacing w:line="560" w:lineRule="exact"/>
              <w:ind w:left="210" w:leftChars="100" w:right="210" w:rightChars="1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安徽淮南潘集经济开发区（安徽淮南现代煤化工产业园）管理委员会生态环境局</w:t>
            </w:r>
            <w:r>
              <w:rPr>
                <w:rFonts w:hint="default" w:ascii="Times New Roman" w:hAnsi="Times New Roman" w:eastAsia="仿宋_GB2312" w:cs="Times New Roman"/>
                <w:color w:val="auto"/>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210" w:leftChars="100" w:right="210" w:rightChars="100"/>
              <w:jc w:val="right"/>
              <w:textAlignment w:val="auto"/>
              <w:rPr>
                <w:rFonts w:hint="default" w:ascii="Times New Roman" w:hAnsi="Times New Roman" w:eastAsia="仿宋_GB2312" w:cs="Times New Roman"/>
                <w:color w:val="auto"/>
                <w:sz w:val="28"/>
                <w:szCs w:val="28"/>
                <w:highlight w:val="none"/>
                <w:vertAlign w:val="baseline"/>
              </w:rPr>
            </w:pPr>
            <w:r>
              <w:rPr>
                <w:rFonts w:hint="default" w:ascii="Times New Roman" w:hAnsi="Times New Roman" w:eastAsia="仿宋_GB2312" w:cs="Times New Roman"/>
                <w:color w:val="auto"/>
                <w:sz w:val="28"/>
                <w:szCs w:val="28"/>
                <w:highlight w:val="none"/>
                <w:lang w:val="en-US" w:eastAsia="zh-CN"/>
              </w:rPr>
              <w:t>2026年</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月</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日印发</w:t>
            </w:r>
          </w:p>
        </w:tc>
      </w:tr>
    </w:tbl>
    <w:p>
      <w:pPr>
        <w:pStyle w:val="2"/>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BC4BC"/>
    <w:multiLevelType w:val="singleLevel"/>
    <w:tmpl w:val="569BC4BC"/>
    <w:lvl w:ilvl="0" w:tentative="0">
      <w:start w:val="2"/>
      <w:numFmt w:val="chineseCounting"/>
      <w:suff w:val="nothing"/>
      <w:lvlText w:val="（%1）"/>
      <w:lvlJc w:val="left"/>
      <w:rPr>
        <w:rFonts w:hint="eastAsia"/>
      </w:rPr>
    </w:lvl>
  </w:abstractNum>
  <w:abstractNum w:abstractNumId="1">
    <w:nsid w:val="69523186"/>
    <w:multiLevelType w:val="singleLevel"/>
    <w:tmpl w:val="6952318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46FE1"/>
    <w:rsid w:val="14A46FE1"/>
    <w:rsid w:val="2D771BB8"/>
    <w:rsid w:val="2F4F2DC7"/>
    <w:rsid w:val="3B8E00BC"/>
    <w:rsid w:val="5FBD1A0C"/>
    <w:rsid w:val="7FC527AC"/>
    <w:rsid w:val="BFFD9A07"/>
    <w:rsid w:val="DEFF8EEF"/>
    <w:rsid w:val="F1FF563B"/>
    <w:rsid w:val="FCE3985C"/>
    <w:rsid w:val="FF7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360" w:lineRule="auto"/>
      <w:outlineLvl w:val="1"/>
    </w:pPr>
    <w:rPr>
      <w:rFonts w:ascii="Times New Roman" w:hAnsi="Times New Roman" w:eastAsia="黑体" w:cs="Times New Roman"/>
      <w:sz w:val="28"/>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2760</Words>
  <Characters>2849</Characters>
  <Lines>0</Lines>
  <Paragraphs>0</Paragraphs>
  <TotalTime>60</TotalTime>
  <ScaleCrop>false</ScaleCrop>
  <LinksUpToDate>false</LinksUpToDate>
  <CharactersWithSpaces>2887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2026-05-23T11:42:00Z</dcterms:created>
  <dc:creator>Shirley</dc:creator>
  <cp:lastModifiedBy>uos</cp:lastModifiedBy>
  <cp:lastPrinted>2026-06-05T19:33:00Z</cp:lastPrinted>
  <dcterms:modified xsi:type="dcterms:W3CDTF">2026-06-05T12:02:42Z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5F1D1089025A44B29DC31EC604B3CFEE_11</vt:lpwstr>
  </property>
  <property fmtid="{D5CDD505-2E9C-101B-9397-08002B2CF9AE}" pid="4" name="KSOTemplateDocerSaveRecord">
    <vt:lpwstr>eyJoZGlkIjoiZjE4NzA5ZTVjMGFlZDJkZWYzZjhiNWQwY2MzNjJlNjEiLCJ1c2VySWQiOiIxMzA2MDExMjg3In0=</vt:lpwstr>
  </property>
</Properties>
</file>