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rPr>
      </w:pPr>
    </w:p>
    <w:p>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Times New Roman" w:hAnsi="Times New Roman" w:cs="Times New Roman"/>
          <w:lang w:val="en-US" w:eastAsia="zh-CN"/>
        </w:rPr>
      </w:pP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right="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right="0"/>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after="440"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淮</w:t>
      </w:r>
      <w:r>
        <w:rPr>
          <w:rFonts w:hint="default" w:ascii="Times New Roman" w:hAnsi="Times New Roman" w:eastAsia="仿宋_GB2312" w:cs="Times New Roman"/>
          <w:color w:val="auto"/>
          <w:sz w:val="32"/>
          <w:szCs w:val="32"/>
          <w:lang w:val="en-US" w:eastAsia="zh-CN"/>
        </w:rPr>
        <w:t>煤化</w:t>
      </w:r>
      <w:r>
        <w:rPr>
          <w:rFonts w:hint="default" w:ascii="Times New Roman" w:hAnsi="Times New Roman" w:eastAsia="仿宋_GB2312" w:cs="Times New Roman"/>
          <w:color w:val="auto"/>
          <w:sz w:val="32"/>
          <w:szCs w:val="32"/>
        </w:rPr>
        <w:t>环审复〔</w:t>
      </w:r>
      <w:r>
        <w:rPr>
          <w:rFonts w:hint="default" w:ascii="Times New Roman" w:hAnsi="Times New Roman" w:eastAsia="仿宋_GB2312" w:cs="Times New Roman"/>
          <w:color w:val="auto"/>
          <w:sz w:val="32"/>
          <w:szCs w:val="32"/>
          <w:lang w:val="en-US" w:eastAsia="zh-CN"/>
        </w:rPr>
        <w:t>2026</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号</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关于</w:t>
      </w:r>
      <w:r>
        <w:rPr>
          <w:rFonts w:hint="eastAsia" w:ascii="Times New Roman" w:hAnsi="Times New Roman" w:eastAsia="方正小标宋_GBK" w:cs="Times New Roman"/>
          <w:sz w:val="44"/>
          <w:szCs w:val="44"/>
          <w:lang w:val="en-US" w:eastAsia="zh-CN"/>
        </w:rPr>
        <w:t>安徽奇宏科技有限公司纳米新材料</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bookmarkStart w:id="0" w:name="_GoBack"/>
      <w:bookmarkEnd w:id="0"/>
      <w:r>
        <w:rPr>
          <w:rFonts w:hint="eastAsia" w:ascii="Times New Roman" w:hAnsi="Times New Roman" w:eastAsia="方正小标宋_GBK" w:cs="Times New Roman"/>
          <w:sz w:val="44"/>
          <w:szCs w:val="44"/>
          <w:lang w:val="en-US" w:eastAsia="zh-CN"/>
        </w:rPr>
        <w:t>加工制造项目</w:t>
      </w:r>
      <w:r>
        <w:rPr>
          <w:rFonts w:hint="default" w:ascii="Times New Roman" w:hAnsi="Times New Roman" w:eastAsia="方正小标宋_GBK" w:cs="Times New Roman"/>
          <w:sz w:val="44"/>
          <w:szCs w:val="44"/>
          <w:lang w:val="en-US" w:eastAsia="zh-CN"/>
        </w:rPr>
        <w:t>环境影响报告表的批复</w:t>
      </w:r>
    </w:p>
    <w:p>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安徽奇宏科技有限公司</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你公司报送的《</w:t>
      </w:r>
      <w:r>
        <w:rPr>
          <w:rFonts w:hint="eastAsia" w:ascii="Times New Roman" w:hAnsi="Times New Roman" w:eastAsia="仿宋_GB2312" w:cs="Times New Roman"/>
          <w:sz w:val="32"/>
          <w:szCs w:val="32"/>
          <w:lang w:val="en-US" w:eastAsia="zh-CN"/>
        </w:rPr>
        <w:t>纳米新材料加工制造项目</w:t>
      </w:r>
      <w:r>
        <w:rPr>
          <w:rFonts w:hint="default" w:ascii="Times New Roman" w:hAnsi="Times New Roman" w:eastAsia="仿宋_GB2312" w:cs="Times New Roman"/>
          <w:sz w:val="32"/>
          <w:szCs w:val="32"/>
          <w:lang w:val="en-US" w:eastAsia="zh-CN"/>
        </w:rPr>
        <w:t>环境影响报告表》（以下简称《报告表》）收悉。经审查研究后批复如下：</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在全面落实环评文件提出的各项污染防治措施和风险防范措施的前提下，结合专家审查意见，原则同意该项目按照</w:t>
      </w:r>
      <w:r>
        <w:rPr>
          <w:rFonts w:hint="eastAsia" w:ascii="Times New Roman" w:hAnsi="Times New Roman" w:eastAsia="仿宋_GB2312" w:cs="Times New Roman"/>
          <w:sz w:val="32"/>
          <w:szCs w:val="32"/>
          <w:lang w:val="en-US" w:eastAsia="zh-CN"/>
        </w:rPr>
        <w:t>中南安全环境技术研究院股份有限公司编制</w:t>
      </w:r>
      <w:r>
        <w:rPr>
          <w:rFonts w:hint="default" w:ascii="Times New Roman" w:hAnsi="Times New Roman" w:eastAsia="仿宋_GB2312" w:cs="Times New Roman"/>
          <w:sz w:val="32"/>
          <w:szCs w:val="32"/>
          <w:lang w:val="en-US" w:eastAsia="zh-CN"/>
        </w:rPr>
        <w:t>的《报告表》及本审批意见要求进行建设。</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一、项目概况</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default" w:ascii="Times New Roman" w:hAnsi="Times New Roman" w:eastAsia="仿宋_GB2312" w:cs="Times New Roman"/>
          <w:sz w:val="32"/>
          <w:szCs w:val="32"/>
          <w:lang w:val="en-US" w:eastAsia="zh-CN"/>
        </w:rPr>
        <w:t>本项目选址于</w:t>
      </w:r>
      <w:r>
        <w:rPr>
          <w:rFonts w:hint="eastAsia" w:ascii="Times New Roman" w:hAnsi="Times New Roman" w:eastAsia="仿宋_GB2312" w:cs="Times New Roman"/>
          <w:sz w:val="32"/>
          <w:szCs w:val="32"/>
          <w:lang w:val="en-US" w:eastAsia="zh-CN"/>
        </w:rPr>
        <w:t>安徽省淮南市现代煤化工产业园标准化厂房</w:t>
      </w:r>
      <w:r>
        <w:rPr>
          <w:rFonts w:hint="default" w:ascii="Times New Roman" w:hAnsi="Times New Roman" w:eastAsia="仿宋_GB2312" w:cs="Times New Roman"/>
          <w:sz w:val="32"/>
          <w:szCs w:val="32"/>
          <w:lang w:val="en-US" w:eastAsia="zh-CN"/>
        </w:rPr>
        <w:t>二期B区B2栋</w:t>
      </w:r>
      <w:r>
        <w:rPr>
          <w:rFonts w:hint="eastAsia" w:ascii="Times New Roman" w:hAnsi="Times New Roman" w:eastAsia="仿宋_GB2312" w:cs="Times New Roman"/>
          <w:sz w:val="32"/>
          <w:szCs w:val="32"/>
          <w:lang w:val="en-US" w:eastAsia="zh-CN"/>
        </w:rPr>
        <w:t>，项目建筑面积4000平方米，规划年加工纳米材料分散液5000吨，锂电隔膜81吨、氧阻隔膜382吨。企业对现有厂房进行改造，通过均质、搅拌、调浓、过滤、涂布等工序，生产纳米纤维素分散液及覆膜产品，产品主要包括纳米纤维素分散液，纤维素纳米晶须分散液、锂电隔膜和氧阻隔膜等多类产品。</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本项目已由安徽淮南潘集经济开发区（安徽淮南现代煤化工产业园）管理委员会备案，项目代码:260</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-340464-04-0</w:t>
      </w:r>
      <w:r>
        <w:rPr>
          <w:rFonts w:hint="eastAsia" w:ascii="Times New Roman" w:hAnsi="Times New Roman" w:eastAsia="仿宋_GB2312" w:cs="Times New Roman"/>
          <w:sz w:val="32"/>
          <w:szCs w:val="32"/>
          <w:lang w:val="en-US" w:eastAsia="zh-CN"/>
        </w:rPr>
        <w:t>1-158289</w:t>
      </w:r>
      <w:r>
        <w:rPr>
          <w:rFonts w:hint="default" w:ascii="Times New Roman" w:hAnsi="Times New Roman" w:eastAsia="仿宋_GB2312" w:cs="Times New Roman"/>
          <w:sz w:val="32"/>
          <w:szCs w:val="32"/>
          <w:lang w:val="en-US" w:eastAsia="zh-CN"/>
        </w:rPr>
        <w:t>，未经同意不得擅自改变建设内容、工艺、规模和选址等。若工程建设发生重大变动，必须严格依照《中华人民共和国环境影响评价法》等有关规定办理相关手续。</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二、污染防治措施要求</w:t>
      </w: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大气污染防治措施。严格落实《报告表》中提出的各类废气污染防治措施和要求。</w:t>
      </w:r>
      <w:r>
        <w:rPr>
          <w:rFonts w:hint="eastAsia" w:ascii="Times New Roman" w:hAnsi="Times New Roman" w:eastAsia="仿宋_GB2312" w:cs="Times New Roman"/>
          <w:sz w:val="32"/>
          <w:szCs w:val="32"/>
          <w:lang w:val="en-US" w:eastAsia="zh-CN"/>
        </w:rPr>
        <w:t>配料产生的颗粒物废气采取加强通风措施无组织排放；烘干产生的有机废气经集气罩收集后，经过干式过滤和二级活性炭处理，处理后的废气通过一根22m高排气筒（DA001）排放。</w:t>
      </w:r>
      <w:r>
        <w:rPr>
          <w:rFonts w:hint="default" w:ascii="Times New Roman" w:hAnsi="Times New Roman" w:eastAsia="仿宋_GB2312" w:cs="Times New Roman"/>
          <w:sz w:val="32"/>
          <w:szCs w:val="32"/>
          <w:lang w:val="en-US" w:eastAsia="zh-CN"/>
        </w:rPr>
        <w:t>各类废气排放按《报告表》中各项标准和要求限值执行。</w:t>
      </w: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水污染防治措施。严格落实《报告表》中提出的各类废水污染防治措施和要求。本项目实行“雨污分流、清污分流”，</w:t>
      </w:r>
      <w:r>
        <w:rPr>
          <w:rFonts w:hint="eastAsia" w:ascii="Times New Roman" w:hAnsi="Times New Roman" w:eastAsia="仿宋_GB2312" w:cs="Times New Roman"/>
          <w:sz w:val="32"/>
          <w:szCs w:val="32"/>
          <w:lang w:val="en-US" w:eastAsia="zh-CN"/>
        </w:rPr>
        <w:t>依托</w:t>
      </w:r>
      <w:r>
        <w:rPr>
          <w:rFonts w:hint="default" w:ascii="Times New Roman" w:hAnsi="Times New Roman" w:eastAsia="仿宋_GB2312" w:cs="Times New Roman"/>
          <w:sz w:val="32"/>
          <w:szCs w:val="32"/>
          <w:lang w:val="en-US" w:eastAsia="zh-CN"/>
        </w:rPr>
        <w:t>厂区已建设完善雨污分流系统，雨水经厂区雨水管道收集后排入市政雨水管网</w:t>
      </w:r>
      <w:r>
        <w:rPr>
          <w:rFonts w:hint="eastAsia" w:ascii="Times New Roman" w:hAnsi="Times New Roman" w:eastAsia="仿宋_GB2312" w:cs="Times New Roman"/>
          <w:sz w:val="32"/>
          <w:szCs w:val="32"/>
          <w:lang w:val="en-US" w:eastAsia="zh-CN"/>
        </w:rPr>
        <w:t>；项目污水经配套的污水处理设施处理后达到园区污水处理厂纳管要求，进入</w:t>
      </w:r>
      <w:r>
        <w:rPr>
          <w:rFonts w:hint="default" w:ascii="Times New Roman" w:hAnsi="Times New Roman" w:eastAsia="仿宋_GB2312" w:cs="Times New Roman"/>
          <w:sz w:val="32"/>
          <w:szCs w:val="32"/>
          <w:lang w:val="en-US" w:eastAsia="zh-CN"/>
        </w:rPr>
        <w:t>园区污水处理厂</w:t>
      </w:r>
      <w:r>
        <w:rPr>
          <w:rFonts w:hint="eastAsia" w:ascii="Times New Roman" w:hAnsi="Times New Roman" w:eastAsia="仿宋_GB2312" w:cs="Times New Roman"/>
          <w:sz w:val="32"/>
          <w:szCs w:val="32"/>
          <w:lang w:val="en-US" w:eastAsia="zh-CN"/>
        </w:rPr>
        <w:t>处理</w:t>
      </w:r>
      <w:r>
        <w:rPr>
          <w:rFonts w:hint="default" w:ascii="Times New Roman" w:hAnsi="Times New Roman" w:eastAsia="仿宋_GB2312" w:cs="Times New Roman"/>
          <w:sz w:val="32"/>
          <w:szCs w:val="32"/>
          <w:lang w:val="en-US" w:eastAsia="zh-CN"/>
        </w:rPr>
        <w:t>。各类废水排放按《报告表》中各项标准和要求限值执行。</w:t>
      </w: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噪声污染防治措施。严格落实《报告表》</w:t>
      </w:r>
      <w:r>
        <w:rPr>
          <w:rFonts w:hint="eastAsia" w:ascii="Times New Roman" w:hAnsi="Times New Roman" w:eastAsia="仿宋_GB2312" w:cs="Times New Roman"/>
          <w:sz w:val="32"/>
          <w:szCs w:val="32"/>
          <w:lang w:val="en-US" w:eastAsia="zh-CN"/>
        </w:rPr>
        <w:t>中</w:t>
      </w:r>
      <w:r>
        <w:rPr>
          <w:rFonts w:hint="default" w:ascii="Times New Roman" w:hAnsi="Times New Roman" w:eastAsia="仿宋_GB2312" w:cs="Times New Roman"/>
          <w:sz w:val="32"/>
          <w:szCs w:val="32"/>
          <w:lang w:val="en-US" w:eastAsia="zh-CN"/>
        </w:rPr>
        <w:t>提出的各项噪声污染防治措施，通过优先选用低噪声设备，安装隔声罩等降噪措施，确保厂界噪声达标。噪声排放按《报告表》中各项标准和要求限值执行。</w:t>
      </w: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固废污染防治措施。做好项目运营过程中产生的固废收集、处理工作，防止造成二次污染。项目产生的危废为离心固废、过滤残渣</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除磁杂质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废化学品原料桶</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废矿物油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废活性炭等，</w:t>
      </w:r>
      <w:r>
        <w:rPr>
          <w:rFonts w:hint="default" w:ascii="Times New Roman" w:hAnsi="Times New Roman" w:eastAsia="仿宋_GB2312" w:cs="Times New Roman"/>
          <w:color w:val="auto"/>
          <w:sz w:val="32"/>
          <w:szCs w:val="32"/>
          <w:lang w:val="en-US" w:eastAsia="zh-CN"/>
        </w:rPr>
        <w:t>项目配套1间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m</w:t>
      </w:r>
      <w:r>
        <w:rPr>
          <w:rFonts w:hint="default" w:ascii="Times New Roman" w:hAnsi="Times New Roman" w:eastAsia="仿宋_GB2312" w:cs="Times New Roman"/>
          <w:color w:val="auto"/>
          <w:sz w:val="32"/>
          <w:szCs w:val="32"/>
          <w:vertAlign w:val="superscript"/>
          <w:lang w:val="en-US" w:eastAsia="zh-CN"/>
        </w:rPr>
        <w:t>2</w:t>
      </w:r>
      <w:r>
        <w:rPr>
          <w:rFonts w:hint="default" w:ascii="Times New Roman" w:hAnsi="Times New Roman" w:eastAsia="仿宋_GB2312" w:cs="Times New Roman"/>
          <w:color w:val="auto"/>
          <w:sz w:val="32"/>
          <w:szCs w:val="32"/>
          <w:lang w:val="en-US" w:eastAsia="zh-CN"/>
        </w:rPr>
        <w:t>的危废仓库，定期委托有资质单位安全合规处置。一般工业固体废弃物主要为来料检验不合格废料</w:t>
      </w:r>
      <w:r>
        <w:rPr>
          <w:rFonts w:hint="eastAsia" w:ascii="Times New Roman" w:hAnsi="Times New Roman" w:eastAsia="仿宋_GB2312" w:cs="Times New Roman"/>
          <w:color w:val="auto"/>
          <w:sz w:val="32"/>
          <w:szCs w:val="32"/>
          <w:lang w:val="en-US" w:eastAsia="zh-CN"/>
        </w:rPr>
        <w:t>、废包装材料、分切薄膜边角料等</w:t>
      </w:r>
      <w:r>
        <w:rPr>
          <w:rFonts w:hint="default" w:ascii="Times New Roman" w:hAnsi="Times New Roman" w:eastAsia="仿宋_GB2312" w:cs="Times New Roman"/>
          <w:color w:val="auto"/>
          <w:sz w:val="32"/>
          <w:szCs w:val="32"/>
          <w:lang w:val="en-US" w:eastAsia="zh-CN"/>
        </w:rPr>
        <w:t>，收集后合规处置。生活垃圾收集后交</w:t>
      </w:r>
      <w:r>
        <w:rPr>
          <w:rFonts w:hint="default" w:ascii="Times New Roman" w:hAnsi="Times New Roman" w:eastAsia="仿宋_GB2312" w:cs="Times New Roman"/>
          <w:sz w:val="32"/>
          <w:szCs w:val="32"/>
          <w:lang w:val="en-US" w:eastAsia="zh-CN"/>
        </w:rPr>
        <w:t>由环卫部门统一清运处理。</w:t>
      </w: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土壤及地下水污染防治措施。结合环</w:t>
      </w:r>
      <w:r>
        <w:rPr>
          <w:rFonts w:hint="eastAsia" w:ascii="仿宋_GB2312" w:hAnsi="仿宋_GB2312" w:eastAsia="仿宋_GB2312" w:cs="仿宋_GB2312"/>
          <w:sz w:val="32"/>
          <w:szCs w:val="32"/>
          <w:lang w:val="en-US" w:eastAsia="zh-CN"/>
        </w:rPr>
        <w:t>评文件相关内容，对</w:t>
      </w:r>
      <w:r>
        <w:rPr>
          <w:rFonts w:hint="eastAsia" w:ascii="仿宋_GB2312" w:hAnsi="仿宋_GB2312" w:eastAsia="仿宋_GB2312" w:cs="仿宋_GB2312"/>
          <w:color w:val="auto"/>
          <w:sz w:val="32"/>
          <w:szCs w:val="32"/>
        </w:rPr>
        <w:t>危废</w:t>
      </w:r>
      <w:r>
        <w:rPr>
          <w:rFonts w:hint="eastAsia" w:ascii="仿宋_GB2312" w:hAnsi="仿宋_GB2312" w:eastAsia="仿宋_GB2312" w:cs="仿宋_GB2312"/>
          <w:color w:val="auto"/>
          <w:sz w:val="32"/>
          <w:szCs w:val="32"/>
          <w:lang w:val="en-US" w:eastAsia="zh-CN"/>
        </w:rPr>
        <w:t>暂存</w:t>
      </w:r>
      <w:r>
        <w:rPr>
          <w:rFonts w:hint="eastAsia" w:ascii="仿宋_GB2312" w:hAnsi="仿宋_GB2312" w:eastAsia="仿宋_GB2312" w:cs="仿宋_GB2312"/>
          <w:color w:val="auto"/>
          <w:sz w:val="32"/>
          <w:szCs w:val="32"/>
        </w:rPr>
        <w:t>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化学品库</w:t>
      </w:r>
      <w:r>
        <w:rPr>
          <w:rFonts w:hint="eastAsia" w:ascii="仿宋_GB2312" w:hAnsi="仿宋_GB2312" w:eastAsia="仿宋_GB2312" w:cs="仿宋_GB2312"/>
          <w:sz w:val="32"/>
          <w:szCs w:val="32"/>
          <w:lang w:val="en-US" w:eastAsia="zh-CN"/>
        </w:rPr>
        <w:t>等区域</w:t>
      </w:r>
      <w:r>
        <w:rPr>
          <w:rFonts w:hint="default" w:ascii="Times New Roman" w:hAnsi="Times New Roman" w:eastAsia="仿宋_GB2312" w:cs="Times New Roman"/>
          <w:sz w:val="32"/>
          <w:szCs w:val="32"/>
          <w:lang w:val="en-US" w:eastAsia="zh-CN"/>
        </w:rPr>
        <w:t>进行重点防渗，严格落实分区防渗措施，防止污染土壤及地下水。</w:t>
      </w:r>
    </w:p>
    <w:p>
      <w:pPr>
        <w:pStyle w:val="2"/>
        <w:ind w:firstLine="640" w:firstLineChars="200"/>
        <w:rPr>
          <w:rFonts w:hint="default"/>
          <w:lang w:val="en-US" w:eastAsia="zh-CN"/>
        </w:rPr>
      </w:pPr>
      <w:r>
        <w:rPr>
          <w:rFonts w:hint="eastAsia" w:eastAsia="仿宋_GB2312" w:cs="Times New Roman"/>
          <w:sz w:val="32"/>
          <w:szCs w:val="32"/>
          <w:lang w:val="en-US" w:eastAsia="zh-CN"/>
        </w:rPr>
        <w:t>6、结合环评文件相关内容，严格落实相关环境风险的防治措施。</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三、环境管理要求</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项目建设过程中应严格执行环境保护“三同时”制度。项目建成后，依法</w:t>
      </w:r>
      <w:r>
        <w:rPr>
          <w:rFonts w:hint="eastAsia" w:ascii="Times New Roman" w:hAnsi="Times New Roman" w:eastAsia="仿宋_GB2312" w:cs="Times New Roman"/>
          <w:sz w:val="32"/>
          <w:szCs w:val="32"/>
          <w:lang w:val="en-US" w:eastAsia="zh-CN"/>
        </w:rPr>
        <w:t>履行排污许可登记</w:t>
      </w:r>
      <w:r>
        <w:rPr>
          <w:rFonts w:hint="default" w:ascii="Times New Roman" w:hAnsi="Times New Roman" w:eastAsia="仿宋_GB2312" w:cs="Times New Roman"/>
          <w:sz w:val="32"/>
          <w:szCs w:val="32"/>
          <w:lang w:val="en-US" w:eastAsia="zh-CN"/>
        </w:rPr>
        <w:t>。项目竣工后应及时对配套的环境保护设施进行验收，验收合格后方可投产。按照国家有关规定设置规范的污染物排放口、贮存(处置)场并安装环保标志标牌。如有环境功能区划调整、新标准实施等情况，按照最新要求执行。</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color w:val="auto"/>
          <w:sz w:val="32"/>
          <w:szCs w:val="32"/>
          <w:lang w:val="en-US" w:eastAsia="zh-CN"/>
        </w:rPr>
        <w:t>四、</w:t>
      </w:r>
      <w:r>
        <w:rPr>
          <w:rFonts w:hint="default" w:ascii="Times New Roman" w:hAnsi="Times New Roman" w:eastAsia="仿宋_GB2312" w:cs="Times New Roman"/>
          <w:sz w:val="32"/>
          <w:szCs w:val="32"/>
          <w:lang w:val="en-US" w:eastAsia="zh-CN"/>
        </w:rPr>
        <w:t>请潘集生态环境保护综合行政执法大队做好工程运营期的事中事后生态环境监管工作。</w:t>
      </w:r>
    </w:p>
    <w:p>
      <w:pPr>
        <w:keepNext w:val="0"/>
        <w:keepLines w:val="0"/>
        <w:pageBreakBefore w:val="0"/>
        <w:widowControl w:val="0"/>
        <w:kinsoku/>
        <w:wordWrap w:val="0"/>
        <w:overflowPunct/>
        <w:topLinePunct w:val="0"/>
        <w:autoSpaceDE/>
        <w:autoSpaceDN/>
        <w:bidi w:val="0"/>
        <w:adjustRightInd/>
        <w:snapToGrid/>
        <w:spacing w:line="560" w:lineRule="exact"/>
        <w:ind w:right="0"/>
        <w:jc w:val="righ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right="0"/>
        <w:jc w:val="righ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right="0"/>
        <w:jc w:val="right"/>
        <w:textAlignment w:val="auto"/>
        <w:rPr>
          <w:rFonts w:hint="eastAsia" w:ascii="Times New Roman" w:hAnsi="Times New Roman" w:eastAsia="仿宋_GB2312" w:cs="Times New Roman"/>
          <w:color w:val="auto"/>
          <w:lang w:eastAsia="zh-CN"/>
        </w:rPr>
      </w:pP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27</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 xml:space="preserve"> </w:t>
      </w:r>
    </w:p>
    <w:p>
      <w:pPr>
        <w:pageBreakBefore w:val="0"/>
        <w:widowControl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（此页无正文）</w:t>
      </w: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rPr>
      </w:pP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tbl>
      <w:tblPr>
        <w:tblStyle w:val="4"/>
        <w:tblW w:w="0" w:type="auto"/>
        <w:tblInd w:w="0" w:type="dxa"/>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Layout w:type="autofit"/>
        <w:tblCellMar>
          <w:top w:w="0" w:type="dxa"/>
          <w:left w:w="108" w:type="dxa"/>
          <w:bottom w:w="0" w:type="dxa"/>
          <w:right w:w="108" w:type="dxa"/>
        </w:tblCellMar>
      </w:tblPr>
      <w:tblGrid>
        <w:gridCol w:w="8522"/>
      </w:tblGrid>
      <w:tr>
        <w:tblPrEx>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CellMar>
            <w:top w:w="0" w:type="dxa"/>
            <w:left w:w="108" w:type="dxa"/>
            <w:bottom w:w="0" w:type="dxa"/>
            <w:right w:w="108" w:type="dxa"/>
          </w:tblCellMar>
        </w:tblPrEx>
        <w:tc>
          <w:tcPr>
            <w:tcW w:w="9174" w:type="dxa"/>
            <w:tcBorders>
              <w:top w:val="single" w:color="auto" w:sz="12" w:space="0"/>
              <w:bottom w:val="single" w:color="auto" w:sz="12" w:space="0"/>
            </w:tcBorders>
          </w:tcPr>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both"/>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eastAsia="zh-CN"/>
              </w:rPr>
              <w:t>抄报：淮南市生态环境局、安徽淮南潘集经济开发区（安徽淮南现代煤化工产业园）管理委员会。</w:t>
            </w:r>
          </w:p>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both"/>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vertAlign w:val="baseline"/>
                <w:lang w:eastAsia="zh-CN"/>
              </w:rPr>
              <w:t>抄送：潘集区生态环境分局、潘集生态环境保护综合行政执法大队、</w:t>
            </w:r>
            <w:r>
              <w:rPr>
                <w:rFonts w:hint="eastAsia" w:ascii="Times New Roman" w:hAnsi="Times New Roman" w:eastAsia="仿宋_GB2312" w:cs="Times New Roman"/>
                <w:color w:val="auto"/>
                <w:sz w:val="28"/>
                <w:szCs w:val="28"/>
                <w:highlight w:val="none"/>
                <w:vertAlign w:val="baseline"/>
                <w:lang w:val="en-US" w:eastAsia="zh-CN"/>
              </w:rPr>
              <w:t>中南安全环境技术研究院股份</w:t>
            </w:r>
            <w:r>
              <w:rPr>
                <w:rFonts w:hint="eastAsia" w:ascii="Times New Roman" w:hAnsi="Times New Roman" w:eastAsia="仿宋_GB2312" w:cs="Times New Roman"/>
                <w:color w:val="auto"/>
                <w:sz w:val="28"/>
                <w:szCs w:val="28"/>
                <w:highlight w:val="none"/>
                <w:vertAlign w:val="baseline"/>
                <w:lang w:eastAsia="zh-CN"/>
              </w:rPr>
              <w:t>有限公司</w:t>
            </w:r>
            <w:r>
              <w:rPr>
                <w:rFonts w:hint="default" w:ascii="Times New Roman" w:hAnsi="Times New Roman" w:eastAsia="仿宋_GB2312" w:cs="Times New Roman"/>
                <w:color w:val="auto"/>
                <w:sz w:val="28"/>
                <w:szCs w:val="28"/>
                <w:highlight w:val="none"/>
                <w:vertAlign w:val="baseline"/>
                <w:lang w:eastAsia="zh-CN"/>
              </w:rPr>
              <w:t>。</w:t>
            </w:r>
          </w:p>
        </w:tc>
      </w:tr>
      <w:tr>
        <w:tblPrEx>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CellMar>
            <w:top w:w="0" w:type="dxa"/>
            <w:left w:w="108" w:type="dxa"/>
            <w:bottom w:w="0" w:type="dxa"/>
            <w:right w:w="108" w:type="dxa"/>
          </w:tblCellMar>
        </w:tblPrEx>
        <w:tc>
          <w:tcPr>
            <w:tcW w:w="9174" w:type="dxa"/>
            <w:tcBorders>
              <w:top w:val="single" w:color="auto" w:sz="12" w:space="0"/>
              <w:bottom w:val="single" w:color="auto" w:sz="12" w:space="0"/>
            </w:tcBorders>
          </w:tcPr>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both"/>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eastAsia="zh-CN"/>
              </w:rPr>
              <w:t>安徽淮南潘集经济开发区（安徽淮南现代煤化工产业园）管理委员会生态环境局</w:t>
            </w:r>
            <w:r>
              <w:rPr>
                <w:rFonts w:hint="default" w:ascii="Times New Roman" w:hAnsi="Times New Roman" w:eastAsia="仿宋_GB2312" w:cs="Times New Roman"/>
                <w:color w:val="auto"/>
                <w:sz w:val="28"/>
                <w:szCs w:val="28"/>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right"/>
              <w:textAlignment w:val="auto"/>
              <w:rPr>
                <w:rFonts w:hint="default" w:ascii="Times New Roman" w:hAnsi="Times New Roman" w:eastAsia="仿宋_GB2312" w:cs="Times New Roman"/>
                <w:color w:val="auto"/>
                <w:sz w:val="28"/>
                <w:szCs w:val="28"/>
                <w:highlight w:val="none"/>
                <w:vertAlign w:val="baseline"/>
              </w:rPr>
            </w:pPr>
            <w:r>
              <w:rPr>
                <w:rFonts w:hint="default" w:ascii="Times New Roman" w:hAnsi="Times New Roman" w:eastAsia="仿宋_GB2312" w:cs="Times New Roman"/>
                <w:color w:val="auto"/>
                <w:sz w:val="28"/>
                <w:szCs w:val="28"/>
                <w:highlight w:val="none"/>
                <w:lang w:val="en-US" w:eastAsia="zh-CN"/>
              </w:rPr>
              <w:t>2026年</w:t>
            </w:r>
            <w:r>
              <w:rPr>
                <w:rFonts w:hint="eastAsia" w:ascii="Times New Roman" w:hAnsi="Times New Roman" w:eastAsia="仿宋_GB2312" w:cs="Times New Roman"/>
                <w:color w:val="auto"/>
                <w:sz w:val="28"/>
                <w:szCs w:val="28"/>
                <w:highlight w:val="none"/>
                <w:lang w:val="en-US" w:eastAsia="zh-CN"/>
              </w:rPr>
              <w:t>7</w:t>
            </w:r>
            <w:r>
              <w:rPr>
                <w:rFonts w:hint="default" w:ascii="Times New Roman" w:hAnsi="Times New Roman" w:eastAsia="仿宋_GB2312" w:cs="Times New Roman"/>
                <w:color w:val="auto"/>
                <w:sz w:val="28"/>
                <w:szCs w:val="28"/>
                <w:highlight w:val="none"/>
                <w:lang w:val="en-US" w:eastAsia="zh-CN"/>
              </w:rPr>
              <w:t>月</w:t>
            </w:r>
            <w:r>
              <w:rPr>
                <w:rFonts w:hint="eastAsia" w:ascii="Times New Roman" w:hAnsi="Times New Roman" w:eastAsia="仿宋_GB2312" w:cs="Times New Roman"/>
                <w:color w:val="auto"/>
                <w:sz w:val="28"/>
                <w:szCs w:val="28"/>
                <w:highlight w:val="none"/>
                <w:lang w:val="en-US" w:eastAsia="zh-CN"/>
              </w:rPr>
              <w:t>27</w:t>
            </w:r>
            <w:r>
              <w:rPr>
                <w:rFonts w:hint="default" w:ascii="Times New Roman" w:hAnsi="Times New Roman" w:eastAsia="仿宋_GB2312" w:cs="Times New Roman"/>
                <w:color w:val="auto"/>
                <w:sz w:val="28"/>
                <w:szCs w:val="28"/>
                <w:highlight w:val="none"/>
                <w:lang w:val="en-US" w:eastAsia="zh-CN"/>
              </w:rPr>
              <w:t>日印发</w:t>
            </w:r>
          </w:p>
        </w:tc>
      </w:tr>
    </w:tbl>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523186"/>
    <w:multiLevelType w:val="singleLevel"/>
    <w:tmpl w:val="6952318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A46FE1"/>
    <w:rsid w:val="14A46FE1"/>
    <w:rsid w:val="1AED5178"/>
    <w:rsid w:val="2D771BB8"/>
    <w:rsid w:val="2F4F2DC7"/>
    <w:rsid w:val="3B8E00BC"/>
    <w:rsid w:val="511E04FA"/>
    <w:rsid w:val="5FBD1A0C"/>
    <w:rsid w:val="6A75203D"/>
    <w:rsid w:val="6EDF7B6F"/>
    <w:rsid w:val="76F7772C"/>
    <w:rsid w:val="7FC527AC"/>
    <w:rsid w:val="91AE429B"/>
    <w:rsid w:val="BC9FF643"/>
    <w:rsid w:val="BFFD9A07"/>
    <w:rsid w:val="DEFF8EEF"/>
    <w:rsid w:val="E1F819E7"/>
    <w:rsid w:val="F1FF563B"/>
    <w:rsid w:val="F6BFD2A4"/>
    <w:rsid w:val="FCE3985C"/>
    <w:rsid w:val="FF7E1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360" w:lineRule="auto"/>
      <w:outlineLvl w:val="1"/>
    </w:pPr>
    <w:rPr>
      <w:rFonts w:ascii="Times New Roman" w:hAnsi="Times New Roman" w:eastAsia="黑体" w:cs="Times New Roman"/>
      <w:sz w:val="28"/>
      <w:szCs w:val="28"/>
    </w:rPr>
  </w:style>
  <w:style w:type="character" w:default="1" w:styleId="5">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1408</Words>
  <Characters>1460</Characters>
  <Lines>0</Lines>
  <Paragraphs>0</Paragraphs>
  <TotalTime>76</TotalTime>
  <ScaleCrop>false</ScaleCrop>
  <LinksUpToDate>false</LinksUpToDate>
  <CharactersWithSpaces>1493</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2026-05-25T11:42:00Z</dcterms:created>
  <dc:creator>Shirley</dc:creator>
  <cp:lastModifiedBy>uos</cp:lastModifiedBy>
  <cp:lastPrinted>2026-06-07T19:33:00Z</cp:lastPrinted>
  <dcterms:modified xsi:type="dcterms:W3CDTF">2026-07-27T10:14:06Z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5F1D1089025A44B29DC31EC604B3CFEE_11</vt:lpwstr>
  </property>
  <property fmtid="{D5CDD505-2E9C-101B-9397-08002B2CF9AE}" pid="4" name="KSOTemplateDocerSaveRecord">
    <vt:lpwstr>eyJoZGlkIjoiNDNlZGE4NTdiNTA0MTk3NGVkZGIxMjdiOWI5NjM5YTYiLCJ1c2VySWQiOiIxMzA2MDExMjg3In0=</vt:lpwstr>
  </property>
</Properties>
</file>