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cs="Times New Roman"/>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cs="Times New Roman"/>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cs="Times New Roman"/>
        </w:rPr>
      </w:pPr>
    </w:p>
    <w:p>
      <w:pPr>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after="440" w:line="560" w:lineRule="exact"/>
        <w:jc w:val="center"/>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淮煤化环审复〔2026〕</w:t>
      </w:r>
      <w:r>
        <w:rPr>
          <w:rFonts w:hint="eastAsia" w:ascii="Times New Roman" w:hAnsi="Times New Roman" w:eastAsia="仿宋_GB2312" w:cs="Times New Roman"/>
          <w:color w:val="auto"/>
          <w:sz w:val="32"/>
          <w:szCs w:val="32"/>
          <w:highlight w:val="none"/>
          <w:lang w:val="en-US" w:eastAsia="zh-CN"/>
        </w:rPr>
        <w:t>5</w:t>
      </w:r>
      <w:r>
        <w:rPr>
          <w:rFonts w:ascii="Times New Roman" w:hAnsi="Times New Roman" w:eastAsia="仿宋_GB2312" w:cs="Times New Roman"/>
          <w:color w:val="auto"/>
          <w:sz w:val="32"/>
          <w:szCs w:val="32"/>
          <w:highlight w:val="none"/>
        </w:rPr>
        <w:t>号</w:t>
      </w:r>
    </w:p>
    <w:p>
      <w:pPr>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w:t>
      </w:r>
      <w:r>
        <w:rPr>
          <w:rFonts w:hint="eastAsia" w:ascii="Times New Roman" w:hAnsi="Times New Roman" w:eastAsia="方正小标宋_GBK" w:cs="Times New Roman"/>
          <w:sz w:val="44"/>
          <w:szCs w:val="44"/>
        </w:rPr>
        <w:t>中安联合煤化</w:t>
      </w:r>
      <w:r>
        <w:rPr>
          <w:rFonts w:ascii="Times New Roman" w:hAnsi="Times New Roman" w:eastAsia="方正小标宋_GBK" w:cs="Times New Roman"/>
          <w:sz w:val="44"/>
          <w:szCs w:val="44"/>
        </w:rPr>
        <w:t>有限</w:t>
      </w:r>
      <w:r>
        <w:rPr>
          <w:rFonts w:hint="eastAsia" w:ascii="Times New Roman" w:hAnsi="Times New Roman" w:eastAsia="方正小标宋_GBK" w:cs="Times New Roman"/>
          <w:sz w:val="44"/>
          <w:szCs w:val="44"/>
        </w:rPr>
        <w:t>责任</w:t>
      </w:r>
      <w:r>
        <w:rPr>
          <w:rFonts w:ascii="Times New Roman" w:hAnsi="Times New Roman" w:eastAsia="方正小标宋_GBK" w:cs="Times New Roman"/>
          <w:sz w:val="44"/>
          <w:szCs w:val="44"/>
        </w:rPr>
        <w:t>公司</w:t>
      </w:r>
    </w:p>
    <w:p>
      <w:pPr>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10万吨/年精甲醇项目</w:t>
      </w:r>
    </w:p>
    <w:p>
      <w:pPr>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en-US" w:eastAsia="zh-CN"/>
        </w:rPr>
        <w:t>生态</w:t>
      </w:r>
      <w:r>
        <w:rPr>
          <w:rFonts w:ascii="Times New Roman" w:hAnsi="Times New Roman" w:eastAsia="方正小标宋_GBK" w:cs="Times New Roman"/>
          <w:sz w:val="44"/>
          <w:szCs w:val="44"/>
        </w:rPr>
        <w:t>环境影响报告表的批复</w:t>
      </w: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中安联合煤化有限责任公司:</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你公司报送的《10万吨/年精甲醇项目</w:t>
      </w:r>
      <w:r>
        <w:rPr>
          <w:rFonts w:hint="eastAsia" w:ascii="Times New Roman" w:hAnsi="Times New Roman" w:eastAsia="仿宋_GB2312" w:cs="Times New Roman"/>
          <w:sz w:val="32"/>
          <w:szCs w:val="32"/>
          <w:lang w:val="en-US" w:eastAsia="zh-CN"/>
        </w:rPr>
        <w:t>生态</w:t>
      </w:r>
      <w:r>
        <w:rPr>
          <w:rFonts w:hint="default" w:ascii="Times New Roman" w:hAnsi="Times New Roman" w:eastAsia="仿宋_GB2312" w:cs="Times New Roman"/>
          <w:sz w:val="32"/>
          <w:szCs w:val="32"/>
          <w:lang w:val="en-US" w:eastAsia="zh-CN"/>
        </w:rPr>
        <w:t>环境影响报告表》（以下简称《报告表》）</w:t>
      </w:r>
      <w:r>
        <w:rPr>
          <w:rFonts w:hint="eastAsia"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lang w:val="en-US" w:eastAsia="zh-CN"/>
        </w:rPr>
        <w:t>收悉。经审查研究后批复如下：</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在全面落实环评文件提出的各项污染防治措施和风险防范措施的前提下，结合专家审查意见，原则同意该项目按照</w:t>
      </w:r>
      <w:r>
        <w:rPr>
          <w:rFonts w:hint="eastAsia" w:ascii="Times New Roman" w:hAnsi="Times New Roman" w:eastAsia="仿宋_GB2312" w:cs="Times New Roman"/>
          <w:sz w:val="32"/>
          <w:szCs w:val="32"/>
          <w:lang w:val="en-US" w:eastAsia="zh-CN"/>
        </w:rPr>
        <w:t>北京飞燕石化环保科技发展有限公司编制</w:t>
      </w:r>
      <w:r>
        <w:rPr>
          <w:rFonts w:hint="default" w:ascii="Times New Roman" w:hAnsi="Times New Roman" w:eastAsia="仿宋_GB2312" w:cs="Times New Roman"/>
          <w:sz w:val="32"/>
          <w:szCs w:val="32"/>
          <w:lang w:val="en-US" w:eastAsia="zh-CN"/>
        </w:rPr>
        <w:t>的《报告表》及本审批意见要求进行建设。</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一、项目概况</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本项目选址</w:t>
      </w:r>
      <w:r>
        <w:rPr>
          <w:rFonts w:hint="eastAsia" w:ascii="Times New Roman" w:hAnsi="Times New Roman" w:eastAsia="仿宋_GB2312" w:cs="Times New Roman"/>
          <w:sz w:val="32"/>
          <w:szCs w:val="32"/>
          <w:lang w:val="en-US" w:eastAsia="zh-CN"/>
        </w:rPr>
        <w:t>位</w:t>
      </w:r>
      <w:r>
        <w:rPr>
          <w:rFonts w:hint="default" w:ascii="Times New Roman" w:hAnsi="Times New Roman" w:eastAsia="仿宋_GB2312" w:cs="Times New Roman"/>
          <w:sz w:val="32"/>
          <w:szCs w:val="32"/>
          <w:lang w:val="en-US" w:eastAsia="zh-CN"/>
        </w:rPr>
        <w:t>于安徽淮南市潘集区煤化工大道经六路中安联合现有厂区内</w:t>
      </w:r>
      <w:r>
        <w:rPr>
          <w:rFonts w:hint="eastAsia" w:ascii="Times New Roman" w:hAnsi="Times New Roman" w:eastAsia="仿宋_GB2312" w:cs="Times New Roman"/>
          <w:sz w:val="32"/>
          <w:szCs w:val="32"/>
          <w:lang w:val="en-US" w:eastAsia="zh-CN"/>
        </w:rPr>
        <w:t>。在原甲醇精馏单元南侧预留地新建一套10万吨/年甲醇精制装置，相关配套设施一并进行优化改造；扩建1台机械通风消雾冷却塔，与现有冷却塔并列布置。本项目不新增产能，不新增煤炭用量</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本项目已</w:t>
      </w:r>
      <w:r>
        <w:rPr>
          <w:rFonts w:hint="eastAsia" w:ascii="Times New Roman" w:hAnsi="Times New Roman" w:eastAsia="仿宋_GB2312" w:cs="Times New Roman"/>
          <w:sz w:val="32"/>
          <w:szCs w:val="32"/>
          <w:lang w:val="en-US" w:eastAsia="zh-CN"/>
        </w:rPr>
        <w:t>取得</w:t>
      </w:r>
      <w:r>
        <w:rPr>
          <w:rFonts w:hint="default" w:ascii="Times New Roman" w:hAnsi="Times New Roman" w:eastAsia="仿宋_GB2312" w:cs="Times New Roman"/>
          <w:sz w:val="32"/>
          <w:szCs w:val="32"/>
          <w:lang w:val="en-US" w:eastAsia="zh-CN"/>
        </w:rPr>
        <w:t>安徽淮南潘集经济开发区（安徽淮南现代煤化工产业园）管理委员会</w:t>
      </w:r>
      <w:r>
        <w:rPr>
          <w:rFonts w:hint="eastAsia" w:ascii="Times New Roman" w:hAnsi="Times New Roman" w:eastAsia="仿宋_GB2312" w:cs="Times New Roman"/>
          <w:sz w:val="32"/>
          <w:szCs w:val="32"/>
          <w:lang w:val="en-US" w:eastAsia="zh-CN"/>
        </w:rPr>
        <w:t>的备案</w:t>
      </w:r>
      <w:r>
        <w:rPr>
          <w:rFonts w:hint="default" w:ascii="Times New Roman" w:hAnsi="Times New Roman" w:eastAsia="仿宋_GB2312" w:cs="Times New Roman"/>
          <w:sz w:val="32"/>
          <w:szCs w:val="32"/>
          <w:lang w:val="en-US" w:eastAsia="zh-CN"/>
        </w:rPr>
        <w:t>，项目代码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2601-340464-04-02-942175，未经同意不得擅自改变建设内容、工艺、规模和选址等。若工程建设发生重大变动，必须严格依照《中华人民共和国生态环境法典》等有关规定办理相关手续。</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二、</w:t>
      </w:r>
      <w:r>
        <w:rPr>
          <w:rFonts w:hint="default" w:ascii="Times New Roman" w:hAnsi="Times New Roman" w:eastAsia="黑体" w:cs="Times New Roman"/>
          <w:b w:val="0"/>
          <w:bCs w:val="0"/>
          <w:sz w:val="32"/>
          <w:szCs w:val="32"/>
          <w:lang w:val="en-US" w:eastAsia="zh-CN"/>
        </w:rPr>
        <w:t>污染防治措施要求</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该项目在建设和运营过程中必须严格执行国家和地方政府环境保护的法律法规、政策规范和标准，并重点落实好以下污染防治措施：</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大气污染防治措施。严格落实《报告表》中提出的各类废气污染防治措施和要求。项目</w:t>
      </w:r>
      <w:r>
        <w:rPr>
          <w:rFonts w:hint="eastAsia" w:ascii="Times New Roman" w:hAnsi="Times New Roman" w:eastAsia="仿宋_GB2312" w:cs="Times New Roman"/>
          <w:sz w:val="32"/>
          <w:szCs w:val="32"/>
          <w:lang w:val="en-US" w:eastAsia="zh-CN"/>
        </w:rPr>
        <w:t>精甲醇装置回流罐不凝气送蒸汽过热炉焚烧处理</w:t>
      </w:r>
      <w:r>
        <w:rPr>
          <w:rFonts w:hint="default" w:ascii="Times New Roman" w:hAnsi="Times New Roman" w:eastAsia="仿宋_GB2312" w:cs="Times New Roman"/>
          <w:sz w:val="32"/>
          <w:szCs w:val="32"/>
          <w:lang w:val="en-US" w:eastAsia="zh-CN"/>
        </w:rPr>
        <w:t>后达标排放</w:t>
      </w:r>
      <w:r>
        <w:rPr>
          <w:rFonts w:hint="eastAsia" w:ascii="Times New Roman" w:hAnsi="Times New Roman" w:eastAsia="仿宋_GB2312" w:cs="Times New Roman"/>
          <w:sz w:val="32"/>
          <w:szCs w:val="32"/>
          <w:lang w:val="en-US" w:eastAsia="zh-CN"/>
        </w:rPr>
        <w:t>，本项目依托现有甲醇储罐，</w:t>
      </w:r>
      <w:r>
        <w:rPr>
          <w:rFonts w:hint="default" w:ascii="Times New Roman" w:hAnsi="Times New Roman" w:eastAsia="仿宋_GB2312" w:cs="Times New Roman"/>
          <w:sz w:val="32"/>
          <w:szCs w:val="32"/>
          <w:lang w:val="en-US" w:eastAsia="zh-CN"/>
        </w:rPr>
        <w:t>产生的</w:t>
      </w:r>
      <w:r>
        <w:rPr>
          <w:rFonts w:hint="eastAsia" w:ascii="Times New Roman" w:hAnsi="Times New Roman" w:eastAsia="仿宋_GB2312" w:cs="Times New Roman"/>
          <w:sz w:val="32"/>
          <w:szCs w:val="32"/>
          <w:lang w:val="en-US" w:eastAsia="zh-CN"/>
        </w:rPr>
        <w:t>呼吸</w:t>
      </w:r>
      <w:r>
        <w:rPr>
          <w:rFonts w:hint="default" w:ascii="Times New Roman" w:hAnsi="Times New Roman" w:eastAsia="仿宋_GB2312" w:cs="Times New Roman"/>
          <w:sz w:val="32"/>
          <w:szCs w:val="32"/>
          <w:lang w:val="en-US" w:eastAsia="zh-CN"/>
        </w:rPr>
        <w:t>废气</w:t>
      </w:r>
      <w:r>
        <w:rPr>
          <w:rFonts w:hint="eastAsia" w:ascii="Times New Roman" w:hAnsi="Times New Roman" w:eastAsia="仿宋_GB2312" w:cs="Times New Roman"/>
          <w:sz w:val="32"/>
          <w:szCs w:val="32"/>
          <w:lang w:val="en-US" w:eastAsia="zh-CN"/>
        </w:rPr>
        <w:t>送现有</w:t>
      </w:r>
      <w:r>
        <w:rPr>
          <w:rFonts w:hint="default" w:ascii="Times New Roman" w:hAnsi="Times New Roman" w:eastAsia="仿宋_GB2312" w:cs="Times New Roman"/>
          <w:sz w:val="32"/>
          <w:szCs w:val="32"/>
          <w:lang w:val="en-US" w:eastAsia="zh-CN"/>
        </w:rPr>
        <w:t>油气回收系统回收</w:t>
      </w:r>
      <w:r>
        <w:rPr>
          <w:rFonts w:hint="eastAsia" w:ascii="Times New Roman" w:hAnsi="Times New Roman" w:eastAsia="仿宋_GB2312" w:cs="Times New Roman"/>
          <w:sz w:val="32"/>
          <w:szCs w:val="32"/>
          <w:lang w:val="en-US" w:eastAsia="zh-CN"/>
        </w:rPr>
        <w:t>和处理</w:t>
      </w:r>
      <w:r>
        <w:rPr>
          <w:rFonts w:hint="default" w:ascii="Times New Roman" w:hAnsi="Times New Roman" w:eastAsia="仿宋_GB2312" w:cs="Times New Roman"/>
          <w:sz w:val="32"/>
          <w:szCs w:val="32"/>
          <w:lang w:val="en-US" w:eastAsia="zh-CN"/>
        </w:rPr>
        <w:t>后达标排放</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全面推行设备泄漏检测与修复（LDAR）计划，加强装置生产、输送和储存过程挥发性有机物泄漏的监测和监管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各类废气排放按《报告表》中各项标准和要求限值执行。</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水污染防治措施。严格落实《报告表》中提出的各类废水污染防治措施和要求。本项目实行“雨污分流、清污分流”，</w:t>
      </w:r>
      <w:r>
        <w:rPr>
          <w:rFonts w:hint="eastAsia" w:ascii="Times New Roman" w:hAnsi="Times New Roman" w:eastAsia="仿宋_GB2312" w:cs="Times New Roman"/>
          <w:sz w:val="32"/>
          <w:szCs w:val="32"/>
          <w:lang w:val="en-US" w:eastAsia="zh-CN"/>
        </w:rPr>
        <w:t>厂区</w:t>
      </w:r>
      <w:r>
        <w:rPr>
          <w:rFonts w:hint="default" w:ascii="Times New Roman" w:hAnsi="Times New Roman" w:eastAsia="仿宋_GB2312" w:cs="Times New Roman"/>
          <w:sz w:val="32"/>
          <w:szCs w:val="32"/>
          <w:lang w:val="en-US" w:eastAsia="zh-CN"/>
        </w:rPr>
        <w:t>建设完善雨污分流系统，</w:t>
      </w:r>
      <w:r>
        <w:rPr>
          <w:rFonts w:hint="eastAsia" w:ascii="Times New Roman" w:hAnsi="Times New Roman" w:eastAsia="仿宋_GB2312" w:cs="Times New Roman"/>
          <w:sz w:val="32"/>
          <w:szCs w:val="32"/>
          <w:lang w:val="en-US" w:eastAsia="zh-CN"/>
        </w:rPr>
        <w:t>生产废水、新建循环水塔排污水、初期雨水经厂区污水处理站处理后全部回用，不外排</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噪声污染防治措施。严格落实《报告表》</w:t>
      </w:r>
      <w:r>
        <w:rPr>
          <w:rFonts w:hint="eastAsia" w:ascii="Times New Roman" w:hAnsi="Times New Roman" w:eastAsia="仿宋_GB2312" w:cs="Times New Roman"/>
          <w:sz w:val="32"/>
          <w:szCs w:val="32"/>
          <w:lang w:val="en-US" w:eastAsia="zh-CN"/>
        </w:rPr>
        <w:t>中</w:t>
      </w:r>
      <w:r>
        <w:rPr>
          <w:rFonts w:hint="default" w:ascii="Times New Roman" w:hAnsi="Times New Roman" w:eastAsia="仿宋_GB2312" w:cs="Times New Roman"/>
          <w:sz w:val="32"/>
          <w:szCs w:val="32"/>
          <w:lang w:val="en-US" w:eastAsia="zh-CN"/>
        </w:rPr>
        <w:t>提出的各项噪声污染防治措施，通过优先选用低噪声设备，</w:t>
      </w:r>
      <w:r>
        <w:rPr>
          <w:rFonts w:hint="eastAsia" w:ascii="Times New Roman" w:hAnsi="Times New Roman" w:eastAsia="仿宋_GB2312" w:cs="Times New Roman"/>
          <w:sz w:val="32"/>
          <w:szCs w:val="32"/>
          <w:lang w:val="en-US" w:eastAsia="zh-CN"/>
        </w:rPr>
        <w:t>安装减振设施等措施</w:t>
      </w:r>
      <w:r>
        <w:rPr>
          <w:rFonts w:hint="default" w:ascii="Times New Roman" w:hAnsi="Times New Roman" w:eastAsia="仿宋_GB2312" w:cs="Times New Roman"/>
          <w:sz w:val="32"/>
          <w:szCs w:val="32"/>
          <w:lang w:val="en-US" w:eastAsia="zh-CN"/>
        </w:rPr>
        <w:t>确保厂界噪声达标。噪声排放按《报告表》中各项标准和要求限值执行。</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固废污染防治措施。做好项目运营过程中产生的固废收集、处理工作，防止造成二次污染。项目产生的危废为</w:t>
      </w:r>
      <w:r>
        <w:rPr>
          <w:rFonts w:hint="eastAsia" w:ascii="Times New Roman" w:hAnsi="Times New Roman" w:eastAsia="仿宋_GB2312" w:cs="Times New Roman"/>
          <w:sz w:val="32"/>
          <w:szCs w:val="32"/>
          <w:lang w:val="en-US" w:eastAsia="zh-CN"/>
        </w:rPr>
        <w:t>杂醇油</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送现有废碱焚烧炉焚烧处理，企业应</w:t>
      </w:r>
      <w:r>
        <w:rPr>
          <w:rFonts w:hint="default" w:ascii="Times New Roman" w:hAnsi="Times New Roman" w:eastAsia="仿宋_GB2312" w:cs="Times New Roman"/>
          <w:sz w:val="32"/>
          <w:szCs w:val="32"/>
          <w:lang w:val="en-US" w:eastAsia="zh-CN"/>
        </w:rPr>
        <w:t>确保</w:t>
      </w:r>
      <w:r>
        <w:rPr>
          <w:rFonts w:hint="eastAsia" w:ascii="Times New Roman" w:hAnsi="Times New Roman" w:eastAsia="仿宋_GB2312" w:cs="Times New Roman"/>
          <w:sz w:val="32"/>
          <w:szCs w:val="32"/>
          <w:lang w:val="en-US" w:eastAsia="zh-CN"/>
        </w:rPr>
        <w:t>废碱焚烧炉</w:t>
      </w:r>
      <w:r>
        <w:rPr>
          <w:rFonts w:hint="default" w:ascii="Times New Roman" w:hAnsi="Times New Roman" w:eastAsia="仿宋_GB2312" w:cs="Times New Roman"/>
          <w:sz w:val="32"/>
          <w:szCs w:val="32"/>
          <w:lang w:val="en-US" w:eastAsia="zh-CN"/>
        </w:rPr>
        <w:t>装置正常运行。</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土壤及地下水污染防治措施。结合环</w:t>
      </w:r>
      <w:r>
        <w:rPr>
          <w:rFonts w:hint="eastAsia" w:ascii="Times New Roman" w:hAnsi="Times New Roman" w:eastAsia="仿宋_GB2312" w:cs="Times New Roman"/>
          <w:sz w:val="32"/>
          <w:szCs w:val="32"/>
          <w:lang w:val="en-US" w:eastAsia="zh-CN"/>
        </w:rPr>
        <w:t>评文件相关内容，对地下管道、集水坑等池体</w:t>
      </w:r>
      <w:r>
        <w:rPr>
          <w:rFonts w:hint="default" w:ascii="Times New Roman" w:hAnsi="Times New Roman" w:eastAsia="仿宋_GB2312" w:cs="Times New Roman"/>
          <w:sz w:val="32"/>
          <w:szCs w:val="32"/>
          <w:lang w:val="en-US" w:eastAsia="zh-CN"/>
        </w:rPr>
        <w:t>进行重点防渗，严格落实分区防渗措施，防止污染土壤及地下水。</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6、结合环评文件相关内容，严格落实相关环境风险的防治措施。</w:t>
      </w:r>
      <w:r>
        <w:rPr>
          <w:rFonts w:hint="default" w:ascii="Times New Roman" w:hAnsi="Times New Roman" w:eastAsia="仿宋_GB2312" w:cs="Times New Roman"/>
          <w:color w:val="auto"/>
          <w:sz w:val="32"/>
          <w:szCs w:val="32"/>
          <w:lang w:val="en-US" w:eastAsia="zh-CN"/>
        </w:rPr>
        <w:t>本项目依托厂区现有事故应急水池及初期雨水收集池。结合本项目存在的环境风险点，修订</w:t>
      </w:r>
      <w:r>
        <w:rPr>
          <w:rFonts w:hint="eastAsia" w:ascii="Times New Roman" w:hAnsi="Times New Roman" w:eastAsia="仿宋_GB2312" w:cs="Times New Roman"/>
          <w:color w:val="auto"/>
          <w:sz w:val="32"/>
          <w:szCs w:val="32"/>
          <w:lang w:val="en-US" w:eastAsia="zh-CN"/>
        </w:rPr>
        <w:t>突发生态</w:t>
      </w:r>
      <w:r>
        <w:rPr>
          <w:rFonts w:hint="default" w:ascii="Times New Roman" w:hAnsi="Times New Roman" w:eastAsia="仿宋_GB2312" w:cs="Times New Roman"/>
          <w:color w:val="auto"/>
          <w:sz w:val="32"/>
          <w:szCs w:val="32"/>
          <w:lang w:val="en-US" w:eastAsia="zh-CN"/>
        </w:rPr>
        <w:t>环境</w:t>
      </w:r>
      <w:r>
        <w:rPr>
          <w:rFonts w:hint="eastAsia" w:ascii="Times New Roman" w:hAnsi="Times New Roman" w:eastAsia="仿宋_GB2312" w:cs="Times New Roman"/>
          <w:color w:val="auto"/>
          <w:sz w:val="32"/>
          <w:szCs w:val="32"/>
          <w:lang w:val="en-US" w:eastAsia="zh-CN"/>
        </w:rPr>
        <w:t>事件</w:t>
      </w:r>
      <w:r>
        <w:rPr>
          <w:rFonts w:hint="default" w:ascii="Times New Roman" w:hAnsi="Times New Roman" w:eastAsia="仿宋_GB2312" w:cs="Times New Roman"/>
          <w:color w:val="auto"/>
          <w:sz w:val="32"/>
          <w:szCs w:val="32"/>
          <w:lang w:val="en-US" w:eastAsia="zh-CN"/>
        </w:rPr>
        <w:t>应急预案，储备风险防范物资，依法开展应急演练，确保突发事故状态下的次生</w:t>
      </w:r>
      <w:r>
        <w:rPr>
          <w:rFonts w:hint="eastAsia" w:ascii="Times New Roman" w:hAnsi="Times New Roman" w:eastAsia="仿宋_GB2312" w:cs="Times New Roman"/>
          <w:color w:val="auto"/>
          <w:sz w:val="32"/>
          <w:szCs w:val="32"/>
          <w:lang w:val="en-US" w:eastAsia="zh-CN"/>
        </w:rPr>
        <w:t>生态</w:t>
      </w:r>
      <w:r>
        <w:rPr>
          <w:rFonts w:hint="default" w:ascii="Times New Roman" w:hAnsi="Times New Roman" w:eastAsia="仿宋_GB2312" w:cs="Times New Roman"/>
          <w:color w:val="auto"/>
          <w:sz w:val="32"/>
          <w:szCs w:val="32"/>
          <w:lang w:val="en-US" w:eastAsia="zh-CN"/>
        </w:rPr>
        <w:t>环境影响程度可控。</w:t>
      </w:r>
    </w:p>
    <w:p>
      <w:pPr>
        <w:keepNext w:val="0"/>
        <w:keepLines w:val="0"/>
        <w:pageBreakBefore w:val="0"/>
        <w:widowControl w:val="0"/>
        <w:kinsoku/>
        <w:wordWrap w:val="0"/>
        <w:overflowPunct/>
        <w:topLinePunct w:val="0"/>
        <w:autoSpaceDE/>
        <w:autoSpaceDN/>
        <w:bidi w:val="0"/>
        <w:adjustRightInd/>
        <w:snapToGrid/>
        <w:spacing w:after="0" w:line="560" w:lineRule="exact"/>
        <w:ind w:firstLine="640" w:firstLineChars="200"/>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三、环境管理要求</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ascii="Times New Roman" w:hAnsi="Times New Roman" w:eastAsia="仿宋_GB2312" w:cs="Times New Roman"/>
          <w:sz w:val="32"/>
          <w:szCs w:val="32"/>
        </w:rPr>
        <w:t>项目建设过程中应严格执行</w:t>
      </w:r>
      <w:r>
        <w:rPr>
          <w:rFonts w:ascii="Times New Roman" w:hAnsi="Times New Roman" w:eastAsia="仿宋_GB2312" w:cs="Times New Roman"/>
          <w:color w:val="auto"/>
          <w:sz w:val="32"/>
          <w:szCs w:val="32"/>
        </w:rPr>
        <w:t>“三同时”制度。</w:t>
      </w:r>
      <w:r>
        <w:rPr>
          <w:rFonts w:ascii="Times New Roman" w:hAnsi="Times New Roman" w:eastAsia="仿宋_GB2312" w:cs="Times New Roman"/>
          <w:sz w:val="32"/>
          <w:szCs w:val="32"/>
        </w:rPr>
        <w:t>项目建成后，</w:t>
      </w:r>
      <w:r>
        <w:rPr>
          <w:rFonts w:hint="default" w:ascii="Times New Roman" w:hAnsi="Times New Roman" w:eastAsia="仿宋_GB2312" w:cs="Times New Roman"/>
          <w:sz w:val="32"/>
          <w:szCs w:val="32"/>
          <w:lang w:val="en-US" w:eastAsia="zh-CN"/>
        </w:rPr>
        <w:t>依法</w:t>
      </w:r>
      <w:r>
        <w:rPr>
          <w:rFonts w:hint="eastAsia" w:ascii="Times New Roman" w:hAnsi="Times New Roman" w:eastAsia="仿宋_GB2312" w:cs="Times New Roman"/>
          <w:sz w:val="32"/>
          <w:szCs w:val="32"/>
          <w:lang w:val="en-US" w:eastAsia="zh-CN"/>
        </w:rPr>
        <w:t>履行</w:t>
      </w:r>
      <w:r>
        <w:rPr>
          <w:rFonts w:hint="default" w:ascii="Times New Roman" w:hAnsi="Times New Roman" w:eastAsia="仿宋_GB2312" w:cs="Times New Roman"/>
          <w:sz w:val="32"/>
          <w:szCs w:val="32"/>
          <w:lang w:val="en-US" w:eastAsia="zh-CN"/>
        </w:rPr>
        <w:t>排污许可证</w:t>
      </w:r>
      <w:r>
        <w:rPr>
          <w:rFonts w:hint="eastAsia" w:ascii="Times New Roman" w:hAnsi="Times New Roman" w:eastAsia="仿宋_GB2312" w:cs="Times New Roman"/>
          <w:sz w:val="32"/>
          <w:szCs w:val="32"/>
          <w:lang w:val="en-US" w:eastAsia="zh-CN"/>
        </w:rPr>
        <w:t>手续</w:t>
      </w:r>
      <w:r>
        <w:rPr>
          <w:rFonts w:ascii="Times New Roman" w:hAnsi="Times New Roman" w:eastAsia="仿宋_GB2312" w:cs="Times New Roman"/>
          <w:sz w:val="32"/>
          <w:szCs w:val="32"/>
        </w:rPr>
        <w:t>。项目竣工后应及时对配套的环境保护设施进行验收，验收合格后方可投产。按照国家有关规定设置规范的污染物排放口。</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sz w:val="32"/>
          <w:szCs w:val="32"/>
          <w:lang w:val="en-US" w:eastAsia="zh-CN"/>
        </w:rPr>
        <w:t>四、</w:t>
      </w:r>
      <w:r>
        <w:rPr>
          <w:rFonts w:hint="eastAsia" w:ascii="Times New Roman" w:hAnsi="Times New Roman" w:eastAsia="仿宋_GB2312" w:cs="Times New Roman"/>
          <w:sz w:val="32"/>
          <w:szCs w:val="32"/>
          <w:lang w:val="en-US" w:eastAsia="zh-CN"/>
        </w:rPr>
        <w:t>本</w:t>
      </w:r>
      <w:r>
        <w:rPr>
          <w:rFonts w:hint="default"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lang w:val="en-US" w:eastAsia="zh-CN"/>
        </w:rPr>
        <w:t>建设</w:t>
      </w:r>
      <w:r>
        <w:rPr>
          <w:rFonts w:hint="default" w:ascii="Times New Roman" w:hAnsi="Times New Roman" w:eastAsia="仿宋_GB2312" w:cs="Times New Roman"/>
          <w:sz w:val="32"/>
          <w:szCs w:val="32"/>
          <w:lang w:val="en-US" w:eastAsia="zh-CN"/>
        </w:rPr>
        <w:t>完成后，二氧化硫、氮氧化物、烟</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粉</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尘、VOCs大气污染物排放总量均未超出</w:t>
      </w:r>
      <w:r>
        <w:rPr>
          <w:rFonts w:hint="eastAsia" w:ascii="Times New Roman" w:hAnsi="Times New Roman" w:eastAsia="仿宋_GB2312" w:cs="Times New Roman"/>
          <w:sz w:val="32"/>
          <w:szCs w:val="32"/>
          <w:lang w:val="en-US" w:eastAsia="zh-CN"/>
        </w:rPr>
        <w:t>现有项目</w:t>
      </w:r>
      <w:r>
        <w:rPr>
          <w:rFonts w:hint="default" w:ascii="Times New Roman" w:hAnsi="Times New Roman" w:eastAsia="仿宋_GB2312" w:cs="Times New Roman"/>
          <w:sz w:val="32"/>
          <w:szCs w:val="32"/>
          <w:lang w:val="en-US" w:eastAsia="zh-CN"/>
        </w:rPr>
        <w:t>核定总量控制规模。提高企业的清洁生产水平，有关项目的其他环境影响减缓措施，按环评报告要求认真落实。</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五、</w:t>
      </w:r>
      <w:r>
        <w:rPr>
          <w:rFonts w:hint="default" w:ascii="Times New Roman" w:hAnsi="Times New Roman" w:eastAsia="仿宋_GB2312" w:cs="Times New Roman"/>
          <w:sz w:val="32"/>
          <w:szCs w:val="32"/>
          <w:lang w:val="en-US" w:eastAsia="zh-CN"/>
        </w:rPr>
        <w:t>请潘集生态环境保护综合行政执法大队做好工程运营期的事中事后生态环境监管工作。</w:t>
      </w:r>
    </w:p>
    <w:p>
      <w:pPr>
        <w:pageBreakBefore w:val="0"/>
        <w:widowControl w:val="0"/>
        <w:kinsoku/>
        <w:wordWrap w:val="0"/>
        <w:overflowPunct/>
        <w:topLinePunct w:val="0"/>
        <w:autoSpaceDE/>
        <w:autoSpaceDN/>
        <w:bidi w:val="0"/>
        <w:adjustRightInd/>
        <w:snapToGrid/>
        <w:spacing w:line="560" w:lineRule="exact"/>
        <w:jc w:val="righ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jc w:val="righ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jc w:val="right"/>
        <w:textAlignment w:val="auto"/>
        <w:rPr>
          <w:rFonts w:ascii="Times New Roman" w:hAnsi="Times New Roman" w:eastAsia="仿宋_GB2312" w:cs="Times New Roman"/>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 xml:space="preserve">日 </w:t>
      </w: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pageBreakBefore w:val="0"/>
        <w:widowControl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rPr>
      </w:pPr>
    </w:p>
    <w:p>
      <w:pPr>
        <w:pStyle w:val="2"/>
        <w:pageBreakBefore w:val="0"/>
        <w:widowControl w:val="0"/>
        <w:kinsoku/>
        <w:wordWrap w:val="0"/>
        <w:overflowPunct/>
        <w:topLinePunct w:val="0"/>
        <w:autoSpaceDE/>
        <w:autoSpaceDN/>
        <w:bidi w:val="0"/>
        <w:adjustRightInd/>
        <w:snapToGrid/>
        <w:spacing w:line="560" w:lineRule="exact"/>
        <w:textAlignment w:val="auto"/>
        <w:sectPr>
          <w:pgSz w:w="11906" w:h="16838"/>
          <w:pgMar w:top="1440" w:right="1800" w:bottom="1440" w:left="1800" w:header="851" w:footer="992" w:gutter="0"/>
          <w:cols w:space="425" w:num="1"/>
          <w:docGrid w:type="lines" w:linePitch="312" w:charSpace="0"/>
        </w:sectPr>
      </w:pP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（此页无正文）</w:t>
      </w:r>
    </w:p>
    <w:p>
      <w:pPr>
        <w:pageBreakBefore w:val="0"/>
        <w:widowControl w:val="0"/>
        <w:kinsoku/>
        <w:wordWrap w:val="0"/>
        <w:overflowPunct/>
        <w:topLinePunct w:val="0"/>
        <w:autoSpaceDE/>
        <w:autoSpaceDN/>
        <w:bidi w:val="0"/>
        <w:adjustRightInd/>
        <w:snapToGrid/>
        <w:spacing w:line="560" w:lineRule="exact"/>
        <w:textAlignment w:val="auto"/>
        <w:rPr>
          <w:rFonts w:ascii="Times New Roman" w:hAnsi="Times New Roman" w:eastAsia="仿宋_GB2312" w:cs="Times New Roman"/>
        </w:rPr>
      </w:pPr>
    </w:p>
    <w:p>
      <w:pPr>
        <w:pStyle w:val="2"/>
        <w:pageBreakBefore w:val="0"/>
        <w:widowControl w:val="0"/>
        <w:kinsoku/>
        <w:wordWrap w:val="0"/>
        <w:overflowPunct/>
        <w:topLinePunct w:val="0"/>
        <w:autoSpaceDE/>
        <w:autoSpaceDN/>
        <w:bidi w:val="0"/>
        <w:adjustRightInd/>
        <w:snapToGrid/>
        <w:spacing w:line="560" w:lineRule="exact"/>
        <w:textAlignment w:val="auto"/>
        <w:rPr>
          <w:rFonts w:eastAsia="仿宋_GB2312"/>
        </w:rPr>
      </w:pPr>
    </w:p>
    <w:p>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rPr>
      </w:pPr>
    </w:p>
    <w:p>
      <w:pPr>
        <w:pStyle w:val="2"/>
        <w:pageBreakBefore w:val="0"/>
        <w:widowControl w:val="0"/>
        <w:kinsoku/>
        <w:overflowPunct/>
        <w:topLinePunct w:val="0"/>
        <w:autoSpaceDE/>
        <w:autoSpaceDN/>
        <w:bidi w:val="0"/>
        <w:adjustRightInd/>
        <w:snapToGrid/>
        <w:spacing w:line="560" w:lineRule="exact"/>
        <w:textAlignment w:val="auto"/>
        <w:rPr>
          <w:rFonts w:eastAsia="仿宋_GB2312"/>
        </w:rPr>
      </w:pPr>
    </w:p>
    <w:p>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rPr>
      </w:pPr>
    </w:p>
    <w:p>
      <w:pPr>
        <w:pStyle w:val="2"/>
        <w:pageBreakBefore w:val="0"/>
        <w:widowControl w:val="0"/>
        <w:kinsoku/>
        <w:overflowPunct/>
        <w:topLinePunct w:val="0"/>
        <w:autoSpaceDE/>
        <w:autoSpaceDN/>
        <w:bidi w:val="0"/>
        <w:adjustRightInd/>
        <w:snapToGrid/>
        <w:spacing w:line="560" w:lineRule="exact"/>
        <w:textAlignment w:val="auto"/>
        <w:rPr>
          <w:rFonts w:eastAsia="仿宋_GB2312"/>
        </w:rPr>
      </w:pPr>
    </w:p>
    <w:p>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rPr>
      </w:pPr>
    </w:p>
    <w:p>
      <w:pPr>
        <w:pStyle w:val="2"/>
        <w:pageBreakBefore w:val="0"/>
        <w:widowControl w:val="0"/>
        <w:kinsoku/>
        <w:overflowPunct/>
        <w:topLinePunct w:val="0"/>
        <w:autoSpaceDE/>
        <w:autoSpaceDN/>
        <w:bidi w:val="0"/>
        <w:adjustRightInd/>
        <w:snapToGrid/>
        <w:spacing w:line="560" w:lineRule="exact"/>
        <w:textAlignment w:val="auto"/>
        <w:rPr>
          <w:rFonts w:eastAsia="仿宋_GB2312"/>
        </w:rPr>
      </w:pPr>
    </w:p>
    <w:p>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rPr>
      </w:pPr>
    </w:p>
    <w:p>
      <w:pPr>
        <w:pStyle w:val="2"/>
      </w:pPr>
    </w:p>
    <w:p>
      <w:pPr>
        <w:pStyle w:val="2"/>
        <w:pageBreakBefore w:val="0"/>
        <w:widowControl w:val="0"/>
        <w:kinsoku/>
        <w:overflowPunct/>
        <w:topLinePunct w:val="0"/>
        <w:autoSpaceDE/>
        <w:autoSpaceDN/>
        <w:bidi w:val="0"/>
        <w:adjustRightInd/>
        <w:snapToGrid/>
        <w:spacing w:line="560" w:lineRule="exact"/>
        <w:textAlignment w:val="auto"/>
      </w:pPr>
    </w:p>
    <w:tbl>
      <w:tblPr>
        <w:tblStyle w:val="5"/>
        <w:tblW w:w="0" w:type="auto"/>
        <w:tblInd w:w="0" w:type="dxa"/>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Layout w:type="autofit"/>
        <w:tblCellMar>
          <w:top w:w="0" w:type="dxa"/>
          <w:left w:w="108" w:type="dxa"/>
          <w:bottom w:w="0" w:type="dxa"/>
          <w:right w:w="108" w:type="dxa"/>
        </w:tblCellMar>
      </w:tblPr>
      <w:tblGrid>
        <w:gridCol w:w="8522"/>
      </w:tblGrid>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pageBreakBefore w:val="0"/>
              <w:widowControl w:val="0"/>
              <w:kinsoku/>
              <w:wordWrap w:val="0"/>
              <w:overflowPunct/>
              <w:topLinePunct w:val="0"/>
              <w:autoSpaceDE/>
              <w:autoSpaceDN/>
              <w:bidi w:val="0"/>
              <w:adjustRightInd/>
              <w:snapToGrid/>
              <w:spacing w:line="560" w:lineRule="exact"/>
              <w:ind w:left="210" w:leftChars="100" w:right="210" w:rightChars="1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抄报：淮南市生态环境局、安徽淮南潘集经济开发区（安徽淮南现代煤化工产业园）管理委员会。</w:t>
            </w:r>
          </w:p>
          <w:p>
            <w:pPr>
              <w:pageBreakBefore w:val="0"/>
              <w:widowControl w:val="0"/>
              <w:kinsoku/>
              <w:wordWrap w:val="0"/>
              <w:overflowPunct/>
              <w:topLinePunct w:val="0"/>
              <w:autoSpaceDE/>
              <w:autoSpaceDN/>
              <w:bidi w:val="0"/>
              <w:adjustRightInd/>
              <w:snapToGrid/>
              <w:spacing w:line="560" w:lineRule="exact"/>
              <w:ind w:left="210" w:leftChars="100" w:right="210" w:rightChars="1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抄送：潘集区生态环境分局、潘集生态环境保护综合行政执法大队、</w:t>
            </w:r>
            <w:r>
              <w:rPr>
                <w:rFonts w:hint="eastAsia" w:ascii="Times New Roman" w:hAnsi="Times New Roman" w:eastAsia="仿宋_GB2312" w:cs="Times New Roman"/>
                <w:sz w:val="28"/>
                <w:szCs w:val="28"/>
              </w:rPr>
              <w:t>北京飞燕石化环保科技发展有限公司</w:t>
            </w:r>
            <w:r>
              <w:rPr>
                <w:rFonts w:ascii="Times New Roman" w:hAnsi="Times New Roman" w:eastAsia="仿宋_GB2312" w:cs="Times New Roman"/>
                <w:sz w:val="28"/>
                <w:szCs w:val="28"/>
              </w:rPr>
              <w:t>。</w:t>
            </w:r>
          </w:p>
        </w:tc>
      </w:tr>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pageBreakBefore w:val="0"/>
              <w:widowControl w:val="0"/>
              <w:kinsoku/>
              <w:wordWrap w:val="0"/>
              <w:overflowPunct/>
              <w:topLinePunct w:val="0"/>
              <w:autoSpaceDE/>
              <w:autoSpaceDN/>
              <w:bidi w:val="0"/>
              <w:adjustRightInd/>
              <w:snapToGrid/>
              <w:spacing w:line="560" w:lineRule="exact"/>
              <w:ind w:left="210" w:leftChars="100" w:right="210" w:rightChars="1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安徽淮南潘集经济开发区（安徽淮南现代煤化工产业园）管理委员会生态环境局                               </w:t>
            </w:r>
          </w:p>
          <w:p>
            <w:pPr>
              <w:pageBreakBefore w:val="0"/>
              <w:widowControl w:val="0"/>
              <w:kinsoku/>
              <w:wordWrap w:val="0"/>
              <w:overflowPunct/>
              <w:topLinePunct w:val="0"/>
              <w:autoSpaceDE/>
              <w:autoSpaceDN/>
              <w:bidi w:val="0"/>
              <w:adjustRightInd/>
              <w:snapToGrid/>
              <w:spacing w:line="560" w:lineRule="exact"/>
              <w:ind w:left="210" w:leftChars="100" w:right="210" w:rightChars="100"/>
              <w:jc w:val="right"/>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2026年</w:t>
            </w:r>
            <w:r>
              <w:rPr>
                <w:rFonts w:hint="eastAsia" w:ascii="Times New Roman" w:hAnsi="Times New Roman" w:eastAsia="仿宋_GB2312" w:cs="Times New Roman"/>
                <w:sz w:val="28"/>
                <w:szCs w:val="28"/>
                <w:lang w:val="en-US" w:eastAsia="zh-CN"/>
              </w:rPr>
              <w:t>9</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7</w:t>
            </w:r>
            <w:bookmarkStart w:id="0" w:name="_GoBack"/>
            <w:bookmarkEnd w:id="0"/>
            <w:r>
              <w:rPr>
                <w:rFonts w:ascii="Times New Roman" w:hAnsi="Times New Roman" w:eastAsia="仿宋_GB2312" w:cs="Times New Roman"/>
                <w:sz w:val="28"/>
                <w:szCs w:val="28"/>
              </w:rPr>
              <w:t>日印发</w:t>
            </w:r>
          </w:p>
        </w:tc>
      </w:tr>
    </w:tbl>
    <w:p>
      <w:pPr>
        <w:pageBreakBefore w:val="0"/>
        <w:widowControl w:val="0"/>
        <w:kinsoku/>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00007A87" w:usb1="80000000" w:usb2="00000008"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46FE1"/>
    <w:rsid w:val="004730F1"/>
    <w:rsid w:val="0052664B"/>
    <w:rsid w:val="00C32A8B"/>
    <w:rsid w:val="00C951BB"/>
    <w:rsid w:val="00DE33AA"/>
    <w:rsid w:val="00E072B5"/>
    <w:rsid w:val="00ED3736"/>
    <w:rsid w:val="14A46FE1"/>
    <w:rsid w:val="1AED5178"/>
    <w:rsid w:val="2C6C3FFB"/>
    <w:rsid w:val="2D771BB8"/>
    <w:rsid w:val="2F4F2DC7"/>
    <w:rsid w:val="3B8E00BC"/>
    <w:rsid w:val="47FF3299"/>
    <w:rsid w:val="511E04FA"/>
    <w:rsid w:val="5FBD1A0C"/>
    <w:rsid w:val="6A75203D"/>
    <w:rsid w:val="6BFDB3A1"/>
    <w:rsid w:val="6EDF7B6F"/>
    <w:rsid w:val="76F7772C"/>
    <w:rsid w:val="7B9F3C83"/>
    <w:rsid w:val="7D260541"/>
    <w:rsid w:val="7FC527AC"/>
    <w:rsid w:val="91AE429B"/>
    <w:rsid w:val="9B9E6A24"/>
    <w:rsid w:val="BC9FF643"/>
    <w:rsid w:val="BFFD9A07"/>
    <w:rsid w:val="DEFF8EEF"/>
    <w:rsid w:val="DFFD05CC"/>
    <w:rsid w:val="E1F819E7"/>
    <w:rsid w:val="F19F0DA6"/>
    <w:rsid w:val="F1FF563B"/>
    <w:rsid w:val="F6BFD2A4"/>
    <w:rsid w:val="FABE3295"/>
    <w:rsid w:val="FCE3985C"/>
    <w:rsid w:val="FF769A4E"/>
    <w:rsid w:val="FF7E1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360" w:lineRule="auto"/>
      <w:outlineLvl w:val="1"/>
    </w:pPr>
    <w:rPr>
      <w:rFonts w:ascii="Times New Roman" w:hAnsi="Times New Roman" w:eastAsia="黑体" w:cs="Times New Roman"/>
      <w:sz w:val="28"/>
      <w:szCs w:val="28"/>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qFormat/>
    <w:uiPriority w:val="0"/>
    <w:pPr>
      <w:jc w:val="left"/>
    </w:pPr>
    <w:rPr>
      <w:kern w:val="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1"/>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1643</Words>
  <Characters>1692</Characters>
  <Lines>126</Lines>
  <Paragraphs>117</Paragraphs>
  <TotalTime>51</TotalTime>
  <ScaleCrop>false</ScaleCrop>
  <LinksUpToDate>false</LinksUpToDate>
  <CharactersWithSpaces>1726</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2026-05-27T11:42:00Z</dcterms:created>
  <dc:creator>Shirley</dc:creator>
  <cp:lastModifiedBy>uos</cp:lastModifiedBy>
  <cp:lastPrinted>2026-06-09T19:33:00Z</cp:lastPrinted>
  <dcterms:modified xsi:type="dcterms:W3CDTF">2026-09-07T09:05:42Z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5F1D1089025A44B29DC31EC604B3CFEE_11</vt:lpwstr>
  </property>
  <property fmtid="{D5CDD505-2E9C-101B-9397-08002B2CF9AE}" pid="4" name="KSOTemplateDocerSaveRecord">
    <vt:lpwstr>eyJoZGlkIjoiNjI1NjU3OTQ2ODM2MzFlMDJkMGMxM2U2YWM3MDNmODkiLCJ1c2VySWQiOiIyMDYwNTQyIn0=</vt:lpwstr>
  </property>
</Properties>
</file>